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8C" w:rsidRPr="00B03E8C" w:rsidRDefault="00B03E8C" w:rsidP="00B03E8C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Съобщение на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Изпълнителна агенция по околна среда (ИАОС)</w:t>
      </w:r>
    </w:p>
    <w:p w:rsidR="00B03E8C" w:rsidRDefault="00B03E8C" w:rsidP="00B03E8C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bg-BG"/>
        </w:rPr>
      </w:pP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122а, ал. 5 от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опазване на околната среда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(ЗООС) и чл. 7, ал. 3, ал. 4 и ал. 5 от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Наредбата за условията и реда за издаване на комплексни разрешителни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открит обществен достъп до заявлението за издаване на комплексно разрешително на „ХАРМОНИ 2012“ ЕООД, гр. София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 експлоатация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Велц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инсталация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изпълняваща дейност, съгласно т. 2.5 „а“ от Приложение № 4 към ЗООС - „Инсталации за </w:t>
      </w:r>
      <w:r>
        <w:rPr>
          <w:rFonts w:ascii="Times New Roman" w:hAnsi="Times New Roman"/>
          <w:sz w:val="24"/>
          <w:szCs w:val="24"/>
        </w:rPr>
        <w:t>производство на необработени метали, различни от изброените в т. 2.2, 2.3 и 2.4, от руди, обогатени продукти или отпадъци от метали чрез металургични, химични или електролитни процеси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“, </w:t>
      </w:r>
      <w:r>
        <w:rPr>
          <w:rFonts w:ascii="Times New Roman" w:hAnsi="Times New Roman"/>
          <w:b/>
          <w:sz w:val="24"/>
          <w:szCs w:val="24"/>
        </w:rPr>
        <w:t xml:space="preserve">Депо за опасни отпадъци - </w:t>
      </w:r>
      <w:proofErr w:type="spellStart"/>
      <w:r>
        <w:rPr>
          <w:rFonts w:ascii="Times New Roman" w:hAnsi="Times New Roman"/>
          <w:b/>
          <w:sz w:val="24"/>
          <w:szCs w:val="24"/>
        </w:rPr>
        <w:t>Депo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оловна шлака и отработени филтърни платна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изпълняващо дейност, съгласно т. 5.4 от Приложение № 4 към ЗООС</w:t>
      </w:r>
      <w:r>
        <w:rPr>
          <w:rFonts w:ascii="Times New Roman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падъци, или с общ капацитет над 25 000 т, с изключение на депата за инертни отпадъци.“, </w:t>
      </w:r>
      <w:r>
        <w:rPr>
          <w:rFonts w:ascii="Times New Roman" w:hAnsi="Times New Roman"/>
          <w:b/>
          <w:sz w:val="24"/>
          <w:szCs w:val="24"/>
        </w:rPr>
        <w:t xml:space="preserve">Депо за опасни отпадъци - Депо за оловно-цинков </w:t>
      </w:r>
      <w:proofErr w:type="spellStart"/>
      <w:r>
        <w:rPr>
          <w:rFonts w:ascii="Times New Roman" w:hAnsi="Times New Roman"/>
          <w:b/>
          <w:sz w:val="24"/>
          <w:szCs w:val="24"/>
        </w:rPr>
        <w:t>кек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>
        <w:rPr>
          <w:rFonts w:ascii="Times New Roman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>
        <w:rPr>
          <w:rFonts w:ascii="Times New Roman" w:hAnsi="Times New Roman"/>
          <w:b/>
          <w:sz w:val="24"/>
          <w:szCs w:val="24"/>
        </w:rPr>
        <w:t>Депо за опасни отпадъци - Депо за утайки от пречиствателна станция за отпадъчни води,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>
        <w:rPr>
          <w:rFonts w:ascii="Times New Roman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отпадъци.“, </w:t>
      </w:r>
      <w:r>
        <w:rPr>
          <w:rFonts w:ascii="Times New Roman" w:hAnsi="Times New Roman"/>
          <w:b/>
          <w:sz w:val="24"/>
          <w:szCs w:val="24"/>
        </w:rPr>
        <w:t>Депо за опасни отпадъци - Депо за пластмасови отпадъци от амортизирани акумулатори,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изпълняващо дейност, съгласно т. 5.4 от Приложение № 4 към ЗООС</w:t>
      </w:r>
      <w:r>
        <w:rPr>
          <w:rFonts w:ascii="Times New Roman" w:hAnsi="Times New Roman"/>
          <w:sz w:val="24"/>
          <w:szCs w:val="24"/>
        </w:rPr>
        <w:t xml:space="preserve"> –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отпадъци.“.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Компетентен орган за вземане на решение по заявлението е изпълнителният директор на ИАОС.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периода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23.12.2022 г. до 23.01.2023 г.,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документацията, съдържаща се в заявлението ще бъде достъпна на интернет страницата на ИАОС и на Община Кърджали.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Забележки, разяснения и възражения, в горепосочения срок могат да се подават до изпълнителния директор на ИАОС и/или кмета на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Кръджали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по официален ред, заведени в съответното деловодство.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допълнителна информация: 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 64 80;</w:t>
      </w:r>
    </w:p>
    <w:p w:rsidR="00B03E8C" w:rsidRDefault="00B03E8C" w:rsidP="00B03E8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Катя Митовска – заместник кмет, Община Кърджали, тел.: 0361/ </w:t>
      </w:r>
      <w:r>
        <w:rPr>
          <w:rFonts w:ascii="Times New Roman" w:hAnsi="Times New Roman"/>
          <w:sz w:val="24"/>
          <w:szCs w:val="24"/>
        </w:rPr>
        <w:t>6 73 05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14EED" w:rsidRDefault="00114EED"/>
    <w:sectPr w:rsidR="0011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6"/>
    <w:rsid w:val="000B4EFB"/>
    <w:rsid w:val="00114EED"/>
    <w:rsid w:val="004E2CC6"/>
    <w:rsid w:val="00591FD6"/>
    <w:rsid w:val="00B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A60"/>
  <w15:chartTrackingRefBased/>
  <w15:docId w15:val="{503082CF-1CD2-4555-B196-B08C6C33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8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Желязкова</dc:creator>
  <cp:keywords/>
  <dc:description/>
  <cp:lastModifiedBy>Емилия Желязкова</cp:lastModifiedBy>
  <cp:revision>2</cp:revision>
  <dcterms:created xsi:type="dcterms:W3CDTF">2022-12-23T07:07:00Z</dcterms:created>
  <dcterms:modified xsi:type="dcterms:W3CDTF">2022-12-23T07:08:00Z</dcterms:modified>
</cp:coreProperties>
</file>