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02"/>
        <w:ind w:right="3189"/>
        <w:jc w:val="center"/>
        <w:rPr>
          <w:b w:val="0"/>
          <w:bCs w:val="0"/>
        </w:rPr>
      </w:pPr>
      <w:r>
        <w:rPr/>
        <w:pict>
          <v:group style="position:absolute;margin-left:29.544001pt;margin-top:3.842298pt;width:523.9pt;height:289pt;mso-position-horizontal-relative:page;mso-position-vertical-relative:paragraph;z-index:-2800" coordorigin="591,77" coordsize="10478,5780">
            <v:group style="position:absolute;left:605;top:87;width:10454;height:2" coordorigin="605,87" coordsize="10454,2">
              <v:shape style="position:absolute;left:605;top:87;width:10454;height:2" coordorigin="605,87" coordsize="10454,0" path="m605,87l11059,87e" filled="false" stroked="true" strokeweight=".48pt" strokecolor="#000000">
                <v:path arrowok="t"/>
              </v:shape>
            </v:group>
            <v:group style="position:absolute;left:600;top:82;width:2;height:5469" coordorigin="600,82" coordsize="2,5469">
              <v:shape style="position:absolute;left:600;top:82;width:2;height:5469" coordorigin="600,82" coordsize="0,5469" path="m600,82l600,5551e" filled="false" stroked="true" strokeweight=".48pt" strokecolor="#000000">
                <v:path arrowok="t"/>
              </v:shape>
            </v:group>
            <v:group style="position:absolute;left:605;top:5856;width:10454;height:2" coordorigin="605,5856" coordsize="10454,2">
              <v:shape style="position:absolute;left:605;top:5856;width:10454;height:2" coordorigin="605,5856" coordsize="10454,0" path="m605,5856l11059,5856e" filled="false" stroked="true" strokeweight=".000168pt" strokecolor="#000000">
                <v:path arrowok="t"/>
              </v:shape>
            </v:group>
            <v:group style="position:absolute;left:600;top:5551;width:2;height:283" coordorigin="600,5551" coordsize="2,283">
              <v:shape style="position:absolute;left:600;top:5551;width:2;height:283" coordorigin="600,5551" coordsize="0,283" path="m600,5551l600,5834e" filled="false" stroked="true" strokeweight=".000044pt" strokecolor="#000000">
                <v:path arrowok="t"/>
              </v:shape>
            </v:group>
            <v:group style="position:absolute;left:596;top:5819;width:10;height:2" coordorigin="596,5819" coordsize="10,2">
              <v:shape style="position:absolute;left:596;top:5819;width:10;height:2" coordorigin="596,5819" coordsize="10,0" path="m596,5819l605,5819e" filled="false" stroked="true" strokeweight=".48pt" strokecolor="#000000">
                <v:path arrowok="t"/>
              </v:shape>
            </v:group>
            <v:group style="position:absolute;left:596;top:5819;width:10;height:2" coordorigin="596,5819" coordsize="10,2">
              <v:shape style="position:absolute;left:596;top:5819;width:10;height:2" coordorigin="596,5819" coordsize="10,0" path="m596,5819l605,5819e" filled="false" stroked="true" strokeweight=".48pt" strokecolor="#000000">
                <v:path arrowok="t"/>
              </v:shape>
            </v:group>
            <v:group style="position:absolute;left:11063;top:82;width:2;height:5752" coordorigin="11063,82" coordsize="2,5752">
              <v:shape style="position:absolute;left:11063;top:82;width:2;height:5752" coordorigin="11063,82" coordsize="0,5752" path="m11063,82l11063,5834e" filled="false" stroked="true" strokeweight=".494458pt" strokecolor="#000000">
                <v:path arrowok="t"/>
              </v:shape>
            </v:group>
            <w10:wrap type="none"/>
          </v:group>
        </w:pict>
      </w:r>
      <w:r>
        <w:rPr/>
        <w:t>Съобщение</w:t>
      </w:r>
      <w:r>
        <w:rPr>
          <w:b w:val="0"/>
        </w:rPr>
      </w:r>
    </w:p>
    <w:p>
      <w:pPr>
        <w:spacing w:before="11"/>
        <w:ind w:left="3312" w:right="31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на Изпълнителна агенция по околна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среда</w:t>
      </w:r>
      <w:r>
        <w:rPr>
          <w:rFonts w:ascii="Times New Roman" w:hAnsi="Times New Roman"/>
          <w:sz w:val="22"/>
        </w:rPr>
      </w:r>
    </w:p>
    <w:p>
      <w:pPr>
        <w:spacing w:before="6"/>
        <w:ind w:left="974" w:right="23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На основание чл. 120, ал. 1 </w:t>
      </w:r>
      <w:r>
        <w:rPr>
          <w:rFonts w:ascii="Times New Roman" w:hAnsi="Times New Roman"/>
          <w:spacing w:val="-3"/>
          <w:sz w:val="22"/>
        </w:rPr>
        <w:t>от </w:t>
      </w:r>
      <w:r>
        <w:rPr>
          <w:rFonts w:ascii="Times New Roman" w:hAnsi="Times New Roman"/>
          <w:i/>
          <w:sz w:val="22"/>
        </w:rPr>
        <w:t>Закона за опазване на околната среда </w:t>
      </w:r>
      <w:r>
        <w:rPr>
          <w:rFonts w:ascii="Times New Roman" w:hAnsi="Times New Roman"/>
          <w:sz w:val="22"/>
        </w:rPr>
        <w:t>(ЗООС) и във връзка 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с: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9" w:lineRule="auto" w:before="16" w:after="0"/>
        <w:ind w:left="346" w:right="231" w:firstLine="6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чл.</w:t>
      </w:r>
      <w:r>
        <w:rPr>
          <w:rFonts w:ascii="Times New Roman" w:hAnsi="Times New Roman"/>
          <w:sz w:val="22"/>
        </w:rPr>
        <w:t>126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ал.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pacing w:val="-3"/>
          <w:sz w:val="22"/>
        </w:rPr>
        <w:t>от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ЗООС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чл.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17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ал.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3"/>
          <w:sz w:val="22"/>
        </w:rPr>
        <w:t>от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Наредбата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условията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3"/>
          <w:sz w:val="22"/>
        </w:rPr>
        <w:t>реда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издаване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комплексни</w:t>
      </w:r>
      <w:r>
        <w:rPr>
          <w:rFonts w:ascii="Times New Roman" w:hAnsi="Times New Roman"/>
          <w:w w:val="100"/>
          <w:sz w:val="22"/>
        </w:rPr>
        <w:t> </w:t>
      </w:r>
      <w:r>
        <w:rPr>
          <w:rFonts w:ascii="Times New Roman" w:hAnsi="Times New Roman"/>
          <w:sz w:val="22"/>
        </w:rPr>
        <w:t>разрешителни са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издадени</w:t>
      </w:r>
      <w:r>
        <w:rPr>
          <w:rFonts w:ascii="Times New Roman" w:hAnsi="Times New Roman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4" w:lineRule="auto" w:before="2" w:after="0"/>
        <w:ind w:left="346" w:right="231" w:firstLine="6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Решение №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548-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Н0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И0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А2/2023 г. </w:t>
      </w:r>
      <w:r>
        <w:rPr>
          <w:rFonts w:ascii="Times New Roman" w:hAnsi="Times New Roman" w:cs="Times New Roman" w:eastAsia="Times New Roman"/>
          <w:sz w:val="22"/>
          <w:szCs w:val="22"/>
        </w:rPr>
        <w:t>за актуализиране на КР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№ 548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Н0/2017г. </w:t>
      </w:r>
      <w:r>
        <w:rPr>
          <w:rFonts w:ascii="Times New Roman" w:hAnsi="Times New Roman" w:cs="Times New Roman" w:eastAsia="Times New Roman"/>
          <w:sz w:val="22"/>
          <w:szCs w:val="22"/>
        </w:rPr>
        <w:t>на оператора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“БоКо </w:t>
      </w:r>
      <w:r>
        <w:rPr>
          <w:rFonts w:ascii="Times New Roman" w:hAnsi="Times New Roman" w:cs="Times New Roman" w:eastAsia="Times New Roman"/>
          <w:sz w:val="22"/>
          <w:szCs w:val="22"/>
        </w:rPr>
        <w:t>- </w:t>
      </w:r>
      <w:r>
        <w:rPr>
          <w:rFonts w:ascii="Times New Roman" w:hAnsi="Times New Roman" w:cs="Times New Roman" w:eastAsia="Times New Roman"/>
          <w:sz w:val="22"/>
          <w:szCs w:val="22"/>
        </w:rPr>
        <w:t>Боряна Костадинова“, гр.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Русе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40" w:lineRule="auto" w:before="11" w:after="0"/>
        <w:ind w:left="1421" w:right="231" w:hanging="4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Решение №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587-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Н0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И0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А1/2023г. </w:t>
      </w:r>
      <w:r>
        <w:rPr>
          <w:rFonts w:ascii="Times New Roman" w:hAnsi="Times New Roman" w:cs="Times New Roman" w:eastAsia="Times New Roman"/>
          <w:sz w:val="22"/>
          <w:szCs w:val="22"/>
        </w:rPr>
        <w:t>за актуализиране на КР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№ 587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Н0/2020г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z w:val="22"/>
          <w:szCs w:val="22"/>
        </w:rPr>
        <w:t>на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оператора</w:t>
      </w:r>
    </w:p>
    <w:p>
      <w:pPr>
        <w:pStyle w:val="BodyText"/>
        <w:spacing w:line="240" w:lineRule="auto" w:before="11"/>
        <w:ind w:right="231" w:firstLine="0"/>
        <w:jc w:val="left"/>
      </w:pPr>
      <w:r>
        <w:rPr/>
        <w:t>„СВИНЕКОМПЛЕКС ДУНАВЦИ“ ЕООД гр.</w:t>
      </w:r>
      <w:r>
        <w:rPr>
          <w:spacing w:val="3"/>
        </w:rPr>
        <w:t> </w:t>
      </w:r>
      <w:r>
        <w:rPr/>
        <w:t>Дунавци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9" w:lineRule="auto" w:before="0" w:after="0"/>
        <w:ind w:left="346" w:right="231" w:firstLine="6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основание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чл.120,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ал.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предложение четвърто,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във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връзка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чл.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124,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ал.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т.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т.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</w:rPr>
        <w:t> ЗООС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във връзка с чл. 18а, ал. 1 , т. 3, букви „б“ и „в“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от </w:t>
      </w:r>
      <w:r>
        <w:rPr>
          <w:rFonts w:ascii="Times New Roman" w:hAnsi="Times New Roman" w:cs="Times New Roman" w:eastAsia="Times New Roman"/>
          <w:sz w:val="22"/>
          <w:szCs w:val="22"/>
        </w:rPr>
        <w:t>Наредбата е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издадено: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9" w:lineRule="auto" w:before="6" w:after="0"/>
        <w:ind w:left="346" w:right="231" w:firstLine="6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Решение №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39-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0-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И1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А2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/2023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г. </w:t>
      </w:r>
      <w:r>
        <w:rPr>
          <w:rFonts w:ascii="Times New Roman" w:hAnsi="Times New Roman" w:cs="Times New Roman" w:eastAsia="Times New Roman"/>
          <w:sz w:val="22"/>
          <w:szCs w:val="22"/>
        </w:rPr>
        <w:t>за актуализиране на КР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№39/2005г. </w:t>
      </w:r>
      <w:r>
        <w:rPr>
          <w:rFonts w:ascii="Times New Roman" w:hAnsi="Times New Roman" w:cs="Times New Roman" w:eastAsia="Times New Roman"/>
          <w:sz w:val="22"/>
          <w:szCs w:val="22"/>
        </w:rPr>
        <w:t>на оператора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„МЕГА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ГРУП“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ЕАД </w:t>
      </w:r>
      <w:r>
        <w:rPr>
          <w:rFonts w:ascii="Times New Roman" w:hAnsi="Times New Roman" w:cs="Times New Roman" w:eastAsia="Times New Roman"/>
          <w:sz w:val="22"/>
          <w:szCs w:val="22"/>
        </w:rPr>
        <w:t>гр.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Варна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9" w:lineRule="auto"/>
        <w:ind w:right="231" w:firstLine="628"/>
        <w:jc w:val="left"/>
        <w:rPr>
          <w:rFonts w:ascii="Times New Roman" w:hAnsi="Times New Roman" w:cs="Times New Roman" w:eastAsia="Times New Roman"/>
        </w:rPr>
      </w:pPr>
      <w:r>
        <w:rPr/>
        <w:t>За контакт относно </w:t>
      </w:r>
      <w:r>
        <w:rPr>
          <w:spacing w:val="-3"/>
        </w:rPr>
        <w:t>горепосочените </w:t>
      </w:r>
      <w:r>
        <w:rPr/>
        <w:t>решения – Любка Попова, директор на дирекция</w:t>
      </w:r>
      <w:r>
        <w:rPr>
          <w:spacing w:val="32"/>
        </w:rPr>
        <w:t> </w:t>
      </w:r>
      <w:r>
        <w:rPr/>
        <w:t>„Разрешителни</w:t>
      </w:r>
      <w:r>
        <w:rPr>
          <w:w w:val="100"/>
        </w:rPr>
        <w:t> </w:t>
      </w:r>
      <w:r>
        <w:rPr/>
        <w:t>режими“, ИАОС, тел.</w:t>
      </w:r>
      <w:r>
        <w:rPr>
          <w:spacing w:val="2"/>
        </w:rPr>
        <w:t> </w:t>
      </w:r>
      <w:r>
        <w:rPr/>
        <w:t>02/940</w:t>
      </w:r>
      <w:r>
        <w:rPr>
          <w:rFonts w:ascii="Times New Roman" w:hAnsi="Times New Roman" w:cs="Times New Roman" w:eastAsia="Times New Roman"/>
        </w:rPr>
        <w:t>-64-80.</w:t>
      </w:r>
    </w:p>
    <w:p>
      <w:pPr>
        <w:pStyle w:val="BodyText"/>
        <w:spacing w:line="249" w:lineRule="auto" w:before="2"/>
        <w:ind w:right="231" w:firstLine="628"/>
        <w:jc w:val="left"/>
      </w:pPr>
      <w:r>
        <w:rPr/>
        <w:t>Документите за решенията се съхраняват в Изпълнителната агенция по околна </w:t>
      </w:r>
      <w:r>
        <w:rPr>
          <w:spacing w:val="-3"/>
        </w:rPr>
        <w:t>среда </w:t>
      </w:r>
      <w:r>
        <w:rPr/>
        <w:t>(ИАОС),</w:t>
      </w:r>
      <w:r>
        <w:rPr>
          <w:spacing w:val="34"/>
        </w:rPr>
        <w:t> </w:t>
      </w:r>
      <w:r>
        <w:rPr/>
        <w:t>адрес:</w:t>
      </w:r>
      <w:r>
        <w:rPr>
          <w:w w:val="100"/>
        </w:rPr>
        <w:t> </w:t>
      </w:r>
      <w:r>
        <w:rPr/>
        <w:t>гр. София, бул. „Цар Борис III” №</w:t>
      </w:r>
      <w:r>
        <w:rPr>
          <w:spacing w:val="6"/>
        </w:rPr>
        <w:t> </w:t>
      </w:r>
      <w:r>
        <w:rPr/>
        <w:t>136.</w:t>
      </w:r>
    </w:p>
    <w:p>
      <w:pPr>
        <w:spacing w:before="1"/>
        <w:ind w:left="974" w:right="23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665558pt;margin-top:64.652908pt;width:358.8pt;height:183pt;mso-position-horizontal-relative:page;mso-position-vertical-relative:paragraph;z-index:-2824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7" w:lineRule="auto" w:before="0"/>
                    <w:ind w:left="237" w:right="4013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У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ОСА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ИНА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ИН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75" w:lineRule="exact" w:before="0"/>
                    <w:ind w:left="23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Ъ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НИ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ТЕЛЕ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ЕКТ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ОР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3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ъ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ла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ували: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7" w:lineRule="auto" w:before="7"/>
                    <w:ind w:left="237" w:right="528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есе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лина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>ш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ва,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Изп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ъ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лни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ир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ор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ИАОС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бка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ова,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ир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ор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ир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кция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75" w:lineRule="exact" w:before="0"/>
                    <w:ind w:left="23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аня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ими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рова,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алн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3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Из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вил: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8"/>
                    <w:ind w:left="23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Пе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орова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циалист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2"/>
        </w:rPr>
        <w:t>Достъпът до документите е съобразно </w:t>
      </w:r>
      <w:r>
        <w:rPr>
          <w:rFonts w:ascii="Times New Roman" w:hAnsi="Times New Roman"/>
          <w:i/>
          <w:sz w:val="22"/>
        </w:rPr>
        <w:t>Закона за достъп до обществена</w:t>
      </w:r>
      <w:r>
        <w:rPr>
          <w:rFonts w:ascii="Times New Roman" w:hAnsi="Times New Roman"/>
          <w:i/>
          <w:spacing w:val="-21"/>
          <w:sz w:val="22"/>
        </w:rPr>
        <w:t> </w:t>
      </w:r>
      <w:r>
        <w:rPr>
          <w:rFonts w:ascii="Times New Roman" w:hAnsi="Times New Roman"/>
          <w:i/>
          <w:sz w:val="22"/>
        </w:rPr>
        <w:t>информация</w:t>
      </w:r>
      <w:r>
        <w:rPr>
          <w:rFonts w:ascii="Times New Roman" w:hAns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3654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2"/>
          <w:sz w:val="20"/>
          <w:szCs w:val="20"/>
        </w:rPr>
        <w:drawing>
          <wp:inline distT="0" distB="0" distL="0" distR="0">
            <wp:extent cx="4549580" cy="23202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58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2"/>
          <w:sz w:val="20"/>
          <w:szCs w:val="20"/>
        </w:rPr>
      </w:r>
    </w:p>
    <w:sectPr>
      <w:type w:val="continuous"/>
      <w:pgSz w:w="11910" w:h="16840"/>
      <w:pgMar w:top="980" w:bottom="280" w:left="3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6" w:hanging="245"/>
        <w:jc w:val="left"/>
      </w:pPr>
      <w:rPr>
        <w:rFonts w:hint="default" w:ascii="Times New Roman" w:hAnsi="Times New Roman" w:eastAsia="Times New Roman"/>
        <w:b/>
        <w:bCs/>
        <w:w w:val="100"/>
      </w:rPr>
    </w:lvl>
    <w:lvl w:ilvl="1">
      <w:start w:val="1"/>
      <w:numFmt w:val="decimal"/>
      <w:lvlText w:val="%1.%2."/>
      <w:lvlJc w:val="left"/>
      <w:pPr>
        <w:ind w:left="346" w:hanging="418"/>
        <w:jc w:val="left"/>
      </w:pPr>
      <w:rPr>
        <w:rFonts w:hint="default" w:ascii="Times New Roman" w:hAnsi="Times New Roman" w:eastAsia="Times New Roman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3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6" w:firstLine="60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"/>
      <w:ind w:left="331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ДО</dc:title>
  <dcterms:created xsi:type="dcterms:W3CDTF">2023-05-15T12:06:24Z</dcterms:created>
  <dcterms:modified xsi:type="dcterms:W3CDTF">2023-05-15T12:06:24Z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