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CE" w:rsidRPr="00CC152F" w:rsidRDefault="006B0FCE" w:rsidP="006B0FC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C152F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за приетите и неприети забележки от РИОСВ и БД, съгласно </w:t>
      </w:r>
      <w:r w:rsidRPr="00CC152F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10, ал. 1 </w:t>
      </w:r>
      <w:r w:rsidRPr="00CC152F">
        <w:rPr>
          <w:rFonts w:ascii="Times New Roman" w:eastAsia="Calibri" w:hAnsi="Times New Roman" w:cs="Times New Roman"/>
          <w:b/>
          <w:sz w:val="24"/>
          <w:szCs w:val="24"/>
        </w:rPr>
        <w:t xml:space="preserve">от Наредбата за условията и реда за издаване на комплексни разрешителни </w:t>
      </w:r>
      <w:r w:rsidRPr="00CC152F">
        <w:rPr>
          <w:rFonts w:ascii="Times New Roman" w:eastAsia="Times New Roman" w:hAnsi="Times New Roman" w:cs="Times New Roman"/>
          <w:b/>
          <w:sz w:val="24"/>
          <w:szCs w:val="24"/>
        </w:rPr>
        <w:t>(ПМС №238 от 02.10.2009 г., посл. изм., ДВ бр. 67/23.08.2019 г.)</w:t>
      </w:r>
      <w:r w:rsidRPr="00CC152F">
        <w:rPr>
          <w:rFonts w:ascii="Times New Roman" w:eastAsia="Calibri" w:hAnsi="Times New Roman" w:cs="Times New Roman"/>
          <w:b/>
          <w:sz w:val="24"/>
          <w:szCs w:val="24"/>
        </w:rPr>
        <w:t xml:space="preserve"> по проект на комплексно разрешително на</w:t>
      </w:r>
      <w:r w:rsidRPr="00CC15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7BA" w:rsidRPr="00CC152F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B161AF" w:rsidRPr="00CC152F">
        <w:rPr>
          <w:rFonts w:ascii="Times New Roman" w:eastAsia="Times New Roman" w:hAnsi="Times New Roman" w:cs="Times New Roman"/>
          <w:b/>
          <w:bCs/>
          <w:sz w:val="24"/>
          <w:szCs w:val="24"/>
        </w:rPr>
        <w:t>ОЛИВА</w:t>
      </w:r>
      <w:r w:rsidR="00A357BA" w:rsidRPr="00CC15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 w:rsidR="00B161AF" w:rsidRPr="00CC152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A357BA" w:rsidRPr="00CC15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Д, гр. </w:t>
      </w:r>
      <w:r w:rsidR="00B161AF" w:rsidRPr="00CC152F">
        <w:rPr>
          <w:rFonts w:ascii="Times New Roman" w:eastAsia="Times New Roman" w:hAnsi="Times New Roman" w:cs="Times New Roman"/>
          <w:b/>
          <w:bCs/>
          <w:sz w:val="24"/>
          <w:szCs w:val="24"/>
        </w:rPr>
        <w:t>Кнежа, площадка гр. Полски Тръмбеш</w:t>
      </w:r>
    </w:p>
    <w:p w:rsidR="00B511DC" w:rsidRPr="00CC152F" w:rsidRDefault="00B511DC" w:rsidP="006B0FCE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970"/>
        <w:gridCol w:w="3835"/>
      </w:tblGrid>
      <w:tr w:rsidR="00CC152F" w:rsidRPr="00CC152F" w:rsidTr="00710652">
        <w:trPr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CC152F" w:rsidRDefault="006B0FCE" w:rsidP="006B0FC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Становище от отдел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CC152F" w:rsidRDefault="006B0FCE" w:rsidP="006B0FC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Изпратено за становище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CC152F" w:rsidRDefault="006B0FCE" w:rsidP="006B0FC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Получено становище</w:t>
            </w:r>
          </w:p>
        </w:tc>
      </w:tr>
      <w:tr w:rsidR="00CC152F" w:rsidRPr="00CC152F" w:rsidTr="009F3A44">
        <w:trPr>
          <w:trHeight w:val="77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D2" w:rsidRPr="00CC152F" w:rsidRDefault="007540D2" w:rsidP="00B161A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РИОСВ – Велико Търново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0D2" w:rsidRPr="00CC152F" w:rsidRDefault="007540D2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08.03.2023 г.</w:t>
            </w:r>
          </w:p>
          <w:p w:rsidR="007540D2" w:rsidRPr="00CC152F" w:rsidRDefault="007540D2" w:rsidP="00B161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 14.03.2023 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D2" w:rsidRPr="00CC152F" w:rsidRDefault="007540D2" w:rsidP="004021A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официално писмо – 2</w:t>
            </w:r>
            <w:r w:rsidR="004021AD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4021AD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.2023 г.</w:t>
            </w:r>
          </w:p>
        </w:tc>
      </w:tr>
      <w:tr w:rsidR="00CC152F" w:rsidRPr="00CC152F" w:rsidTr="009F3A44">
        <w:trPr>
          <w:trHeight w:val="77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D2" w:rsidRPr="00CC152F" w:rsidRDefault="007540D2" w:rsidP="00B161A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БД „Дунавски район“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0D2" w:rsidRPr="00CC152F" w:rsidRDefault="007540D2" w:rsidP="006B0FC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D2" w:rsidRPr="00CC152F" w:rsidRDefault="007540D2" w:rsidP="00B161A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официално писмо – 17.03.2023 г.</w:t>
            </w:r>
          </w:p>
        </w:tc>
      </w:tr>
      <w:tr w:rsidR="00CC152F" w:rsidRPr="00CC152F" w:rsidTr="009F3A44">
        <w:trPr>
          <w:trHeight w:val="77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D2" w:rsidRPr="00CC152F" w:rsidRDefault="007540D2" w:rsidP="006B0FC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Дирекция МООС, ИАОС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0D2" w:rsidRPr="00CC152F" w:rsidRDefault="007540D2" w:rsidP="006B0FC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0D2" w:rsidRPr="00CC152F" w:rsidRDefault="007540D2" w:rsidP="007B47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  <w:r w:rsidRPr="00CC15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C152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CC15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CC152F">
              <w:rPr>
                <w:rFonts w:ascii="Times New Roman" w:eastAsia="Times New Roman" w:hAnsi="Times New Roman" w:cs="Times New Roman"/>
                <w:sz w:val="24"/>
                <w:szCs w:val="24"/>
              </w:rPr>
              <w:t>г. – електронна поща</w:t>
            </w:r>
          </w:p>
        </w:tc>
      </w:tr>
      <w:tr w:rsidR="007540D2" w:rsidRPr="00CC152F" w:rsidTr="009F3A44">
        <w:trPr>
          <w:trHeight w:val="77"/>
          <w:jc w:val="center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D2" w:rsidRPr="00CC152F" w:rsidRDefault="007540D2" w:rsidP="006B0FC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Дирекция ГДЛАД, ИАОС</w:t>
            </w: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D2" w:rsidRPr="00CC152F" w:rsidRDefault="007540D2" w:rsidP="006B0FC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D2" w:rsidRPr="00CC152F" w:rsidRDefault="007540D2" w:rsidP="007B473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Times New Roman" w:hAnsi="Times New Roman" w:cs="Times New Roman"/>
                <w:sz w:val="24"/>
                <w:szCs w:val="24"/>
              </w:rPr>
              <w:t>11.03.2023 г. – електронна поща</w:t>
            </w:r>
          </w:p>
        </w:tc>
      </w:tr>
    </w:tbl>
    <w:p w:rsidR="006B0FCE" w:rsidRPr="00CC152F" w:rsidRDefault="006B0FCE" w:rsidP="006B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FCE" w:rsidRPr="00CC152F" w:rsidRDefault="006B0FCE" w:rsidP="006B0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3"/>
        <w:gridCol w:w="867"/>
        <w:gridCol w:w="1280"/>
        <w:gridCol w:w="4008"/>
      </w:tblGrid>
      <w:tr w:rsidR="00CC152F" w:rsidRPr="00CC152F" w:rsidTr="00B83439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FCE" w:rsidRPr="00CC152F" w:rsidRDefault="006B0FCE" w:rsidP="006B0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Становище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FCE" w:rsidRPr="00CC152F" w:rsidRDefault="006B0FCE" w:rsidP="006B0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E" w:rsidRPr="00CC152F" w:rsidRDefault="006B0FCE" w:rsidP="006B0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0FCE" w:rsidRPr="00CC152F" w:rsidRDefault="006B0FCE" w:rsidP="006B0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Обосновка</w:t>
            </w:r>
          </w:p>
        </w:tc>
      </w:tr>
      <w:tr w:rsidR="00CC152F" w:rsidRPr="00CC152F" w:rsidTr="00A9608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082" w:rsidRPr="00CC152F" w:rsidRDefault="00A96082" w:rsidP="00A96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bg-BG"/>
              </w:rPr>
              <w:t>Условие № 3. Обхват</w:t>
            </w:r>
          </w:p>
        </w:tc>
      </w:tr>
      <w:tr w:rsidR="00CC152F" w:rsidRPr="00CC152F" w:rsidTr="00B83439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933" w:rsidRPr="00CC152F" w:rsidRDefault="00763933" w:rsidP="00A96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CC152F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>На стр. 13 в ТО – в</w:t>
            </w:r>
            <w:r w:rsidRPr="00CC152F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bg-BG"/>
              </w:rPr>
              <w:t xml:space="preserve"> </w:t>
            </w:r>
            <w:r w:rsidR="00A96082" w:rsidRPr="00CC152F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bg-BG"/>
              </w:rPr>
              <w:t xml:space="preserve">Емисии на отпадъчни води </w:t>
            </w:r>
            <w:r w:rsidRPr="00CC152F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bg-BG"/>
              </w:rPr>
              <w:t xml:space="preserve">: </w:t>
            </w:r>
          </w:p>
          <w:p w:rsidR="00A96082" w:rsidRPr="00CC152F" w:rsidRDefault="00763933" w:rsidP="00AD5D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CC152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bg-BG"/>
              </w:rPr>
              <w:t>„Представена е информация за различните потоци отпадъчни води, обектите от които се формират, техните количества и състав, начина по който ще се третират и отвеждат. Производствените отпадъчни води, формирани на площадката се отвеждат към градска канализация на град Полски Тръмбеш.“</w:t>
            </w:r>
            <w:r w:rsidRPr="00CC152F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 xml:space="preserve"> – Да се има предвид, че приложената от оператора КАРТА № 4.3. не дава точна информация с географски координати където се нам</w:t>
            </w:r>
            <w:r w:rsidR="00157C3F" w:rsidRPr="00CC152F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>ират трите точки на включване (</w:t>
            </w:r>
            <w:r w:rsidRPr="00CC152F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>Точка на заустване №1 (дъждовни води), Точ</w:t>
            </w:r>
            <w:r w:rsidR="009859FD" w:rsidRPr="00CC152F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>ка ма заустване №2 (</w:t>
            </w:r>
            <w:r w:rsidRPr="00CC152F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 xml:space="preserve">смесен поток производствени и битово-фекални) и Точка на </w:t>
            </w:r>
            <w:proofErr w:type="spellStart"/>
            <w:r w:rsidRPr="00CC152F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>заустване</w:t>
            </w:r>
            <w:proofErr w:type="spellEnd"/>
            <w:r w:rsidRPr="00CC152F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 xml:space="preserve"> №</w:t>
            </w:r>
            <w:r w:rsidR="00AD2529" w:rsidRPr="00CC152F">
              <w:rPr>
                <w:rFonts w:ascii="Times New Roman" w:eastAsia="SimSu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CC152F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 xml:space="preserve">3 (битово </w:t>
            </w:r>
            <w:proofErr w:type="spellStart"/>
            <w:r w:rsidRPr="00CC152F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>фекални</w:t>
            </w:r>
            <w:proofErr w:type="spellEnd"/>
            <w:r w:rsidRPr="00CC152F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>)) в канализационната система на гр. Полски Тръмбеш.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082" w:rsidRPr="00CC152F" w:rsidRDefault="00AD2529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082" w:rsidRPr="00CC152F" w:rsidRDefault="00763933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РИОСВ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082" w:rsidRPr="00CC152F" w:rsidRDefault="004F505D" w:rsidP="00EF77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Поради установено разминаване в текстовата част на заявлението за издаване на КР и приложенията към него о</w:t>
            </w:r>
            <w:r w:rsidR="00AD2529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оператора ще се изиска допълнително уточняваща информация относно потоците отпадъчни води и точките на </w:t>
            </w:r>
            <w:proofErr w:type="spellStart"/>
            <w:r w:rsidR="00AD2529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заустване</w:t>
            </w:r>
            <w:proofErr w:type="spellEnd"/>
            <w:r w:rsidR="00AD2529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същите. </w:t>
            </w:r>
          </w:p>
        </w:tc>
      </w:tr>
      <w:tr w:rsidR="00CC152F" w:rsidRPr="00CC152F" w:rsidTr="00B83439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D80" w:rsidRPr="00CC152F" w:rsidRDefault="00AD5D80" w:rsidP="00A960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CC152F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CC152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bg-BG"/>
              </w:rPr>
              <w:t>„Представената оценка на съответствието на емисионните ограничения на избраната техника показва, че емисиите на вредни вещества в отпадъчните води от площадката ще отговарят на нормите, посочени в Приложение №</w:t>
            </w:r>
            <w:r w:rsidR="00AD2529" w:rsidRPr="00CC152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CC152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bg-BG"/>
              </w:rPr>
              <w:t xml:space="preserve">2 на Наредба </w:t>
            </w:r>
            <w:r w:rsidRPr="00CC152F">
              <w:rPr>
                <w:rFonts w:ascii="Times New Roman" w:eastAsia="SimSun" w:hAnsi="Times New Roman" w:cs="Times New Roman"/>
                <w:i/>
                <w:sz w:val="24"/>
                <w:szCs w:val="24"/>
                <w:lang w:eastAsia="bg-BG"/>
              </w:rPr>
              <w:lastRenderedPageBreak/>
              <w:t xml:space="preserve">№7 и договор с „ВиК Йовковци“ ООД – гр. Велико Търново“ </w:t>
            </w:r>
            <w:r w:rsidRPr="00CC152F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 xml:space="preserve">– Да се има предвид, че в представения Договор, сключен между „ВиК Йовковци“ ООД и „Олива“ АД е разписано Приложение №1, в </w:t>
            </w:r>
            <w:proofErr w:type="spellStart"/>
            <w:r w:rsidRPr="00CC152F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>ковто</w:t>
            </w:r>
            <w:proofErr w:type="spellEnd"/>
            <w:r w:rsidRPr="00CC152F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 xml:space="preserve"> са посочени общо 25 показателя (съобразено с Приложение №</w:t>
            </w:r>
            <w:r w:rsidR="00AD2529" w:rsidRPr="00CC152F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C152F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>2 на Наредба №7), показателите БПК5, ХПК, Неразтворени вещества, азот амонячен, фосфати и животински мазнини и растителни масла са само част от цитираните в Приложение №</w:t>
            </w:r>
            <w:r w:rsidR="00AD2529" w:rsidRPr="00CC152F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C152F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>1 на Договора, показатели. В договора не е изрично споменато, че анализи ще се осъществяват само по тези показатели.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D80" w:rsidRPr="00CC152F" w:rsidRDefault="00EF775E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D80" w:rsidRPr="00CC152F" w:rsidRDefault="00157C3F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РИОСВ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CC8" w:rsidRPr="00CC152F" w:rsidRDefault="00EF775E" w:rsidP="00C67CC8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F505D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аблица 10.1.2.1</w:t>
            </w:r>
            <w:r w:rsidR="00B76E38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е допълнена с показателите, съгласно представения договор с ВиК</w:t>
            </w:r>
            <w:r w:rsidR="00DD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оператора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6FE9" w:rsidRPr="00CC152F" w:rsidRDefault="00716FE9" w:rsidP="00716FE9">
            <w:pPr>
              <w:pStyle w:val="doc-ti"/>
              <w:shd w:val="clear" w:color="auto" w:fill="FFFFFF"/>
              <w:spacing w:before="240" w:beforeAutospacing="0" w:after="120" w:afterAutospacing="0"/>
              <w:jc w:val="center"/>
              <w:rPr>
                <w:rFonts w:eastAsia="Calibri"/>
              </w:rPr>
            </w:pPr>
          </w:p>
          <w:p w:rsidR="006E5746" w:rsidRPr="00CC152F" w:rsidRDefault="006E5746" w:rsidP="006E57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  <w:p w:rsidR="006E5746" w:rsidRPr="00CC152F" w:rsidRDefault="006E5746" w:rsidP="006E57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746" w:rsidRPr="00CC152F" w:rsidRDefault="006E5746" w:rsidP="006E57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746" w:rsidRPr="00CC152F" w:rsidRDefault="006E5746" w:rsidP="006E57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746" w:rsidRPr="00CC152F" w:rsidRDefault="006E5746" w:rsidP="006E57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5D80" w:rsidRPr="00CC152F" w:rsidRDefault="00D91E2A" w:rsidP="006E574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C152F" w:rsidRPr="00CC152F" w:rsidTr="006F517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176" w:rsidRPr="00CC152F" w:rsidRDefault="006F5176" w:rsidP="006F5176">
            <w:pPr>
              <w:ind w:right="-2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Условие № 4. Капацитет на инсталациите</w:t>
            </w:r>
          </w:p>
        </w:tc>
      </w:tr>
      <w:tr w:rsidR="00CC152F" w:rsidRPr="00CC152F" w:rsidTr="00B83439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43D" w:rsidRPr="00CC152F" w:rsidRDefault="0011243D" w:rsidP="006F517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Наличната в РИОСВ-Велико Търново информация показва, че капацитетът на парни котли П-10/13 (означени в проекта на КР като №1 и №2) по паспортни данни е 10 тона пара/час, всеки (7 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MW). 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Съгласно представената от оператора Декларация  с изх. № ПТ-1267/05.11.2016г., котлите се експлоатират с максимална термична мощност 2,5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MW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всеки, поради техническа невъзможност за достигане на максималния капацитет.</w:t>
            </w:r>
          </w:p>
          <w:p w:rsidR="006F5176" w:rsidRPr="00CC152F" w:rsidRDefault="006F5176" w:rsidP="006F517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проекта на КР е посочено, че номиналната входяща топлинна мощност на парен котел №1 и парен котел №2 е 3,192 </w:t>
            </w:r>
            <w:r w:rsidRPr="00CC15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MW</w:t>
            </w:r>
            <w:r w:rsidRPr="00CC152F">
              <w:rPr>
                <w:rFonts w:ascii="Times New Roman" w:hAnsi="Times New Roman" w:cs="Times New Roman"/>
                <w:sz w:val="24"/>
                <w:szCs w:val="24"/>
              </w:rPr>
              <w:t xml:space="preserve">, което не съответства с посочените мощности (2,394 </w:t>
            </w:r>
            <w:r w:rsidRPr="00CC15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MW</w:t>
            </w:r>
            <w:r w:rsidRPr="00CC152F">
              <w:rPr>
                <w:rFonts w:ascii="Times New Roman" w:hAnsi="Times New Roman" w:cs="Times New Roman"/>
                <w:sz w:val="24"/>
                <w:szCs w:val="24"/>
              </w:rPr>
              <w:t>) в проекта на ТО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176" w:rsidRPr="00CC152F" w:rsidRDefault="005E641F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76" w:rsidRPr="00CC152F" w:rsidRDefault="006F5176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РИОСВ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EB" w:rsidRPr="00CC152F" w:rsidRDefault="005E641F" w:rsidP="00195A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Съгласно представено в приложение №1</w:t>
            </w:r>
            <w:r w:rsidR="00B94027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становище от </w:t>
            </w:r>
            <w:r w:rsidR="007009D2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B94027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Промишлена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енергетика –ВТ</w:t>
            </w:r>
            <w:r w:rsidR="007009D2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АД, гр. Велико Търново </w:t>
            </w: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изчислената изходяща топлинна мощност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котел П-10 е 2 394 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kW/h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F5176" w:rsidRPr="00CC152F" w:rsidRDefault="005E641F" w:rsidP="00A939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Съгласно представено писмо от МОСВ, изх. №26-00-436/21.04.2021г.</w:t>
            </w:r>
            <w:r w:rsidR="00195AEB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9D2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(Приложение № 18 от заявлението) </w:t>
            </w:r>
            <w:r w:rsidR="00195AEB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(копие от писмото е изпратено и до РИОСВ-Велико Търново)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изходящата топлинна мощност на всеки котел е </w:t>
            </w:r>
            <w:r w:rsidRPr="00CC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2,394 </w:t>
            </w:r>
            <w:r w:rsidRPr="00CC152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MW</w:t>
            </w: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</w:t>
            </w: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номиналната входяща топлинна мощност на всеки един котел е 3,192 </w:t>
            </w:r>
            <w:r w:rsidRPr="00CC152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MW</w:t>
            </w:r>
            <w:r w:rsidR="00195AEB"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(стойност, получена посредством разделяне на изходящата топлинна мощност на споменатия КПД)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. Предвид, че съгласно Приложение №</w:t>
            </w:r>
            <w:r w:rsidR="00AD1D98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от ЗООС мощността на горивните инсталации се ограничава по </w:t>
            </w: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номинална входяща топлинна мощност</w:t>
            </w:r>
            <w:r w:rsidR="007A5C7E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0D320F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апацитетът на</w:t>
            </w:r>
            <w:r w:rsidR="000D320F"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D320F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парен котел №1 и парен котел №</w:t>
            </w:r>
            <w:r w:rsidR="00AD1D98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320F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2 е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ограничен по номинална входяща топлинна 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мощност - </w:t>
            </w: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3,192 </w:t>
            </w:r>
            <w:r w:rsidRPr="00CC152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MW</w:t>
            </w:r>
            <w:r w:rsidRPr="00CC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всеки</w:t>
            </w:r>
            <w:r w:rsidRPr="00CC1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52F" w:rsidRPr="00CC152F" w:rsidTr="00642A7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A7C" w:rsidRPr="00CC152F" w:rsidRDefault="00642A7C" w:rsidP="00642A7C">
            <w:pPr>
              <w:ind w:righ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Условие № 7 Уведомяване</w:t>
            </w:r>
          </w:p>
        </w:tc>
      </w:tr>
      <w:tr w:rsidR="00CC152F" w:rsidRPr="00CC152F" w:rsidTr="00B83439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A7C" w:rsidRPr="00CC152F" w:rsidRDefault="00A62055" w:rsidP="0022258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В ТО</w:t>
            </w: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C01FB"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Условие 7.1. </w:t>
            </w:r>
            <w:r w:rsidR="000C01FB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Условието е поставено, съгласно чл. 23, чл. 121, т.6 и </w:t>
            </w:r>
            <w:r w:rsidR="000C01FB" w:rsidRPr="00CC152F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чл. 125</w:t>
            </w:r>
            <w:r w:rsidR="000C01FB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чл. 123в, т.4 от ЗООС</w:t>
            </w:r>
            <w:r w:rsidR="008263D5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(чл. 125 от ЗООС е неприложим към условието)</w:t>
            </w:r>
            <w:r w:rsidR="00B94027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A7C" w:rsidRPr="00CC152F" w:rsidRDefault="00200293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7C" w:rsidRPr="00CC152F" w:rsidRDefault="000C01FB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A7C" w:rsidRPr="00CC152F" w:rsidRDefault="00200293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Условие 7.1. е добавен и чл. 123в, т. 4 от ЗООС.</w:t>
            </w:r>
          </w:p>
        </w:tc>
      </w:tr>
      <w:tr w:rsidR="00CC152F" w:rsidRPr="00CC152F" w:rsidTr="00B94027">
        <w:trPr>
          <w:trHeight w:val="1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E1C" w:rsidRPr="00CC152F" w:rsidRDefault="00511E1C" w:rsidP="00511E1C">
            <w:pPr>
              <w:keepNext/>
              <w:ind w:right="-23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Условие № 8. Използване на ресурси</w:t>
            </w:r>
          </w:p>
        </w:tc>
      </w:tr>
      <w:tr w:rsidR="00CC152F" w:rsidRPr="00CC152F" w:rsidTr="00B94027">
        <w:trPr>
          <w:trHeight w:val="1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E1C" w:rsidRPr="00CC152F" w:rsidRDefault="00511E1C" w:rsidP="00511E1C">
            <w:pPr>
              <w:keepNext/>
              <w:ind w:right="-23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Условие 8.1. Използване на вода</w:t>
            </w:r>
          </w:p>
        </w:tc>
      </w:tr>
      <w:tr w:rsidR="00CC152F" w:rsidRPr="00CC152F" w:rsidTr="00B83439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A7C" w:rsidRPr="00CC152F" w:rsidRDefault="0025343C" w:rsidP="0022258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стр. 12 „Използване на вода“ от техническата оценка – да се прецизира текста като се има предвид, че използването на вода от собствен водоизточник регламентирано с Разрешително за водовземане от подземни води № 11530401/28.10.2013г. изменено и продължено с Решение 2851/27.12.2016г. на БДДР е разрешено единствено с цел </w:t>
            </w:r>
            <w:r w:rsidRPr="00CC15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„водоснабдяване за охлаждане на производствени машини и съоръжения в процеса на работата им“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: текстът следва да бъде съобразен с изложеното в Условие 8.1.3. на ТО.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A7C" w:rsidRPr="00CC152F" w:rsidRDefault="008D5EDA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7C" w:rsidRPr="00CC152F" w:rsidRDefault="0025343C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A7C" w:rsidRPr="00CC152F" w:rsidRDefault="008D5EDA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Коригирано</w:t>
            </w:r>
          </w:p>
        </w:tc>
      </w:tr>
      <w:tr w:rsidR="00CC152F" w:rsidRPr="00CC152F" w:rsidTr="00B83439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055" w:rsidRPr="00CC152F" w:rsidRDefault="00A62055" w:rsidP="0022258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 </w:t>
            </w: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Условие 8.1.1.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Съгласно чл. 44 и чл. 50 от Закона за водите, чл. 4, ал.6, т.1 от Наредба за условията и реда за издаване на комплексни разрешителни, </w:t>
            </w: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чл. 8 на Наредба № 4/14.09.2004г. за условията и реда за присъединяване на потребителите и за ползване на водоснабдителните и канализационните системи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Методика….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055" w:rsidRPr="00CC152F" w:rsidRDefault="00124686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055" w:rsidRPr="00CC152F" w:rsidRDefault="00A62055" w:rsidP="006B0F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055" w:rsidRPr="00CC152F" w:rsidRDefault="00124686" w:rsidP="00547D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Условието е </w:t>
            </w:r>
            <w:r w:rsidR="00547D4B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допълнено</w:t>
            </w:r>
          </w:p>
        </w:tc>
      </w:tr>
      <w:tr w:rsidR="00CC152F" w:rsidRPr="00CC152F" w:rsidTr="00B83439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В ТО</w:t>
            </w: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Условие 8.1.6.1.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Съгласно </w:t>
            </w:r>
            <w:r w:rsidRPr="00CC152F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чл. 125, ал.1, т.6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чл. 123в, т.6 от ЗООС и формат на ГДОС, съгласно образец на 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годишен доклад за изпълнение на дейностите, за които е предоставено комплексно разрешително….( чл.125, ал. 1 от ЗООС е отм. – ДВ, бр. 98  от 2018г., в сила от 28.08.2019 г.)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Условието е коригирано</w:t>
            </w:r>
          </w:p>
        </w:tc>
      </w:tr>
      <w:tr w:rsidR="00CC152F" w:rsidRPr="00CC152F" w:rsidTr="00B609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53" w:rsidRPr="00CC152F" w:rsidRDefault="00B60953" w:rsidP="006A7C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lastRenderedPageBreak/>
              <w:t>Условие № 9. Емисии в атмосферата</w:t>
            </w:r>
          </w:p>
        </w:tc>
      </w:tr>
      <w:tr w:rsidR="00CC152F" w:rsidRPr="00CC152F" w:rsidTr="00B609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53" w:rsidRPr="00CC152F" w:rsidRDefault="00B60953" w:rsidP="006A7C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9.1.</w:t>
            </w:r>
            <w:r w:rsidRPr="00CC1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52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пречиствателното оборудване</w:t>
            </w:r>
          </w:p>
        </w:tc>
      </w:tr>
      <w:tr w:rsidR="00CC152F" w:rsidRPr="00CC152F" w:rsidTr="00B83439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53" w:rsidRPr="00CC152F" w:rsidRDefault="00B60953" w:rsidP="00B60953">
            <w:pPr>
              <w:keepNext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C15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Монтирано е ново пречиствателно устройство към КПТ 12000/13 (котел №3) – тип воден </w:t>
            </w:r>
            <w:proofErr w:type="spellStart"/>
            <w:r w:rsidRPr="00CC15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скрубер</w:t>
            </w:r>
            <w:proofErr w:type="spellEnd"/>
            <w:r w:rsidRPr="00CC15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, по предписание на РИОСВ.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53" w:rsidRPr="00CC152F" w:rsidRDefault="00B60953" w:rsidP="00B609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953" w:rsidRPr="00CC152F" w:rsidRDefault="00B60953" w:rsidP="00B609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РИОСВ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53" w:rsidRPr="00CC152F" w:rsidRDefault="00B60953" w:rsidP="00B609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Добавено към проекта на КР</w:t>
            </w:r>
          </w:p>
        </w:tc>
      </w:tr>
      <w:tr w:rsidR="00CC152F" w:rsidRPr="00CC152F" w:rsidTr="00B609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53" w:rsidRPr="00CC152F" w:rsidRDefault="00B60953" w:rsidP="00B609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9.2.</w:t>
            </w:r>
            <w:r w:rsidRPr="00CC1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52F">
              <w:rPr>
                <w:rFonts w:ascii="Times New Roman" w:hAnsi="Times New Roman" w:cs="Times New Roman"/>
                <w:b/>
                <w:sz w:val="24"/>
                <w:szCs w:val="24"/>
              </w:rPr>
              <w:t>Емисии от точкови източници</w:t>
            </w:r>
          </w:p>
        </w:tc>
      </w:tr>
      <w:tr w:rsidR="00CC152F" w:rsidRPr="00CC152F" w:rsidTr="00B83439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53" w:rsidRPr="00CC152F" w:rsidRDefault="00B60953" w:rsidP="00B609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таблица 9.2.7 – продължение към Условие 9.2.7. от проекта на КР е посочена НДЕ за замърсител СО от </w:t>
            </w: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200 mg/Nm</w:t>
            </w: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</w:t>
            </w: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Съгласно разпоредбите на </w:t>
            </w:r>
            <w:r w:rsidRPr="00CC15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Наредбата за ограничаване на емисиите на определени замърсители, изпускани в атмосферата от средни горивни инсталации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(ДВ. Бр. 63 от 31.2018 г.)</w:t>
            </w: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този замърсител се изисква измерване, но няма определена НДЕ</w:t>
            </w:r>
            <w:r w:rsidR="00270203"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53" w:rsidRPr="00CC152F" w:rsidRDefault="00F97E1A" w:rsidP="00B609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</w:t>
            </w:r>
            <w:r w:rsidR="00DF51EC"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953" w:rsidRPr="00CC152F" w:rsidRDefault="00B60953" w:rsidP="00B609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РИОСВ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53" w:rsidRPr="00CC152F" w:rsidRDefault="00B65E65" w:rsidP="00B65E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Таблица 9.2.7 от проекта на КР е коригирана, като з</w:t>
            </w:r>
            <w:r w:rsidR="00985D43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985D43"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</w:t>
            </w:r>
            <w:r w:rsidR="00985D43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 поставена НДЕ </w:t>
            </w:r>
            <w:r w:rsidR="00985D43"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250 </w:t>
            </w:r>
            <w:proofErr w:type="spellStart"/>
            <w:r w:rsidR="00985D43"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mg</w:t>
            </w:r>
            <w:proofErr w:type="spellEnd"/>
            <w:r w:rsidR="00985D43"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/Nm</w:t>
            </w:r>
            <w:r w:rsidR="00985D43" w:rsidRPr="00CC152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съгласно </w:t>
            </w:r>
            <w:r w:rsidRPr="00CC15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Наредба № 1 от 27.06.2005 г. за норми за допустими емисии на вредни вещества (замърсители), изпускани в атмосферата от обекти и дейности с неподвижни източници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15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емисии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31.12.2029 г. След 01.01.2030 г. не е поставена НДЕ за 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CO, 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тъй като </w:t>
            </w:r>
            <w:r w:rsidR="00656111"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Наредбата за СГИ предвижда само мониторинг за този замърсител.</w:t>
            </w:r>
          </w:p>
        </w:tc>
      </w:tr>
      <w:tr w:rsidR="00CC152F" w:rsidRPr="00CC152F" w:rsidTr="00B83439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53" w:rsidRPr="00CC152F" w:rsidRDefault="00B60953" w:rsidP="00B609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Предлагам записът в Таблица 9.2.4. – продължение по отношение на замърсител ЛОС (</w:t>
            </w:r>
            <w:proofErr w:type="spellStart"/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хексан</w:t>
            </w:r>
            <w:proofErr w:type="spellEnd"/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), който се емитира от изпускащо устройство К 66 да бъде представен в друга таблица, като вместо НДЕ да се посочи </w:t>
            </w: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НОЕ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съгласно изискванията на </w:t>
            </w:r>
            <w:r w:rsidRPr="00CC15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Наредба №7 от 21.10.2003г. за норми за допустими емисии на летливи органични съединения, изпускани в околната среда, главно в атмосферния въздух в резултат на употребата на разтворители в определени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15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инсталации.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53" w:rsidRPr="00CC152F" w:rsidRDefault="00A62E86" w:rsidP="00B609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953" w:rsidRPr="00CC152F" w:rsidRDefault="00B60953" w:rsidP="00B609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РИОСВ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953" w:rsidRPr="00CC152F" w:rsidRDefault="00B60953" w:rsidP="00B609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Коригирано</w:t>
            </w:r>
          </w:p>
        </w:tc>
      </w:tr>
      <w:tr w:rsidR="00CC152F" w:rsidRPr="00CC152F" w:rsidTr="00BB4F48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Условие № </w:t>
            </w:r>
            <w:r w:rsidRPr="00CC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CC1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Емисии в отпадъчни води</w:t>
            </w:r>
          </w:p>
        </w:tc>
      </w:tr>
      <w:tr w:rsidR="00CC152F" w:rsidRPr="00CC152F" w:rsidTr="00B83439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добави ново условие във връзка с изискванията на Тарифа за таксите за водовземане, за ползване на воден обект и за замърсяване, което гласи“</w:t>
            </w:r>
          </w:p>
          <w:p w:rsidR="006A7C72" w:rsidRPr="00CC152F" w:rsidRDefault="006A7C72" w:rsidP="006A7C7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„Притежателят на настоящото разрешително да заплаща такса за заустване в градската канализационна система на производствени отпадъчни води, които нямат битов характер, съгласно разпоредбите на Тарифата по чл. 194, ал. 6 от Закона за водите, като към 31.01. на следващата година </w:t>
            </w:r>
            <w:proofErr w:type="spellStart"/>
            <w:r w:rsidRPr="00CC15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титулярът</w:t>
            </w:r>
            <w:proofErr w:type="spellEnd"/>
            <w:r w:rsidRPr="00CC15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на разрешителното представя информация на съответния ВиК оператор за изчисляване и заплащане на таксата“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4575FC" w:rsidP="006A7C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4575FC" w:rsidP="006A7C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Операторът </w:t>
            </w:r>
            <w:r w:rsidR="000E568C" w:rsidRPr="00CC1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зауства в повърхностни или подземни води.</w:t>
            </w:r>
            <w:r w:rsidR="00EF775E" w:rsidRPr="00CC1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Заплащането на таксите е съгласно договора с ВиК.</w:t>
            </w:r>
          </w:p>
        </w:tc>
      </w:tr>
      <w:tr w:rsidR="00CC152F" w:rsidRPr="00CC152F" w:rsidTr="00B83439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Номерацията не следва своя хронологичен ред: след Условие 10.1.1.3. не следва Условие 10.1.1.4., а е записано Условие 10.1.1.6., което обърква и следващите номера. Както и след Условие 10.1.2. не следва Условие 10.1.4., а следва Условие 101.1.3.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0E568C" w:rsidP="006A7C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РИОСВ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0E568C" w:rsidP="006A7C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Поправено е</w:t>
            </w:r>
            <w:r w:rsidR="005E0FDE" w:rsidRPr="00CC1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10.1.1.6 на 10.1.1.4.</w:t>
            </w:r>
          </w:p>
          <w:p w:rsidR="005E0FDE" w:rsidRPr="00CC152F" w:rsidRDefault="005E0FDE" w:rsidP="006A7C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Условие 10.1.4. е по Методиката</w:t>
            </w:r>
            <w:r w:rsidR="00270203" w:rsidRPr="00CC1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152F" w:rsidRPr="00CC152F" w:rsidTr="00530F8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ind w:right="-23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  <w:t>Условие № 11. Управление на отпадъците</w:t>
            </w:r>
          </w:p>
        </w:tc>
      </w:tr>
      <w:tr w:rsidR="00CC152F" w:rsidRPr="00CC152F" w:rsidTr="00B83439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hAnsi="Times New Roman" w:cs="Times New Roman"/>
                <w:sz w:val="24"/>
                <w:szCs w:val="24"/>
              </w:rPr>
              <w:t>На стр. 27 от Техническата оценка е посочено, че в хода на процедурата са представени (с писмо вх. № 13127/21.04.2021 г.) от МОСВ:</w:t>
            </w:r>
          </w:p>
          <w:p w:rsidR="006A7C72" w:rsidRPr="00CC152F" w:rsidRDefault="006A7C72" w:rsidP="006A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№ СП-56/20.04.2021 г. на министъра на околната среда и водите за определяне на слънчогледовата люспа, образувана от дейността на „ОЛИВА“ АД, гр. Полски Тръмбеш, като страничен продукт, по смисъла на чл. 4, ал. 1 от Закона за управление на отпадъците, с цел използване </w:t>
            </w:r>
            <w:r w:rsidRPr="00CC1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като гориво за получаване на топлинна енергия в директен или преработен вид/под формата на </w:t>
            </w:r>
            <w:proofErr w:type="spellStart"/>
            <w:r w:rsidRPr="00CC152F">
              <w:rPr>
                <w:rFonts w:ascii="Times New Roman" w:hAnsi="Times New Roman" w:cs="Times New Roman"/>
                <w:sz w:val="24"/>
                <w:szCs w:val="24"/>
              </w:rPr>
              <w:t>пелети</w:t>
            </w:r>
            <w:proofErr w:type="spellEnd"/>
            <w:r w:rsidRPr="00CC152F">
              <w:rPr>
                <w:rFonts w:ascii="Times New Roman" w:hAnsi="Times New Roman" w:cs="Times New Roman"/>
                <w:sz w:val="24"/>
                <w:szCs w:val="24"/>
              </w:rPr>
              <w:t xml:space="preserve"> и ВВИ/;</w:t>
            </w:r>
          </w:p>
          <w:p w:rsidR="006A7C72" w:rsidRPr="00CC152F" w:rsidRDefault="006A7C72" w:rsidP="006A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№ СП-57/20.04.2021 г. на министъра на околната среда и водите за определяне на слънчогледовия шрот образуван от дейността на „ОЛИВА“ АД, гр. Полски Тръмбеш като страничен продукт с цел използване като фураж за животни, в насипно състояние или </w:t>
            </w:r>
            <w:proofErr w:type="spellStart"/>
            <w:r w:rsidRPr="00CC152F">
              <w:rPr>
                <w:rFonts w:ascii="Times New Roman" w:hAnsi="Times New Roman" w:cs="Times New Roman"/>
                <w:sz w:val="24"/>
                <w:szCs w:val="24"/>
              </w:rPr>
              <w:t>пелетизиран</w:t>
            </w:r>
            <w:proofErr w:type="spellEnd"/>
            <w:r w:rsidRPr="00CC1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C72" w:rsidRPr="00CC152F" w:rsidRDefault="006A7C72" w:rsidP="006A7C7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hAnsi="Times New Roman" w:cs="Times New Roman"/>
                <w:sz w:val="24"/>
                <w:szCs w:val="24"/>
              </w:rPr>
              <w:t xml:space="preserve">Във връзка с горното, </w:t>
            </w:r>
            <w:r w:rsidRPr="00CC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приложено, изпращаме Решение № СП-53/11.03.2021 г. и Решение № СП-54/18.03.2021 г., </w:t>
            </w:r>
            <w:r w:rsidRPr="00CC152F">
              <w:rPr>
                <w:rFonts w:ascii="Times New Roman" w:hAnsi="Times New Roman" w:cs="Times New Roman"/>
                <w:sz w:val="24"/>
                <w:szCs w:val="24"/>
              </w:rPr>
              <w:t>за определяне на страничен продукт по чл. 4, ал. 1 от Закона за управление на отпадъците, заедно с писмо изх.№ 26-00-1076/19.03.2021 г. на МОСВ, с което са изпратени на „ОЛИВА“ АД.</w:t>
            </w:r>
          </w:p>
          <w:p w:rsidR="006A7C72" w:rsidRPr="00CC152F" w:rsidRDefault="006A7C72" w:rsidP="00F52B9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hAnsi="Times New Roman" w:cs="Times New Roman"/>
                <w:sz w:val="24"/>
                <w:szCs w:val="24"/>
              </w:rPr>
              <w:t>В тази връзка, в ТО следва да се уточни цитирането на гореописаните решения.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Дирекция МООС, ИАОС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15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Приложените Решения са за площадката на „ОЛИВА“ АД, намираща се в с. Разделна, община Белослав.</w:t>
            </w:r>
          </w:p>
        </w:tc>
      </w:tr>
      <w:tr w:rsidR="00CC152F" w:rsidRPr="00CC152F" w:rsidTr="001F4CC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Условие № </w:t>
            </w:r>
            <w:r w:rsidRPr="00CC1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13 </w:t>
            </w:r>
            <w:r w:rsidRPr="00CC1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Опазване на почвата и подземните води от замърсяване</w:t>
            </w:r>
          </w:p>
        </w:tc>
      </w:tr>
      <w:tr w:rsidR="00CC152F" w:rsidRPr="00CC152F" w:rsidTr="00A05BA5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Условие 13.2. Условия за мониторинг на </w:t>
            </w:r>
            <w:r w:rsidRPr="00CC152F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подземните води</w:t>
            </w:r>
          </w:p>
        </w:tc>
      </w:tr>
      <w:tr w:rsidR="00CC152F" w:rsidRPr="00CC152F" w:rsidTr="00B83439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numPr>
                <w:ilvl w:val="0"/>
                <w:numId w:val="5"/>
              </w:numPr>
              <w:spacing w:line="256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Условие 13.2.1.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„Притежателят на настоящото разрешително да провежда собствен мониторинг на подземните води по показателите, посочени в Таблица 13.2.1. </w:t>
            </w:r>
            <w:r w:rsidRPr="00CC1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Мониторинг на подземните води“:</w:t>
            </w:r>
          </w:p>
          <w:p w:rsidR="006A7C72" w:rsidRPr="00CC152F" w:rsidRDefault="006A7C72" w:rsidP="006A7C72">
            <w:pPr>
              <w:numPr>
                <w:ilvl w:val="1"/>
                <w:numId w:val="5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В Таблица 13.2.1., да се измени честотата на мониторинг на подземните води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от „</w:t>
            </w:r>
            <w:r w:rsidRPr="00CC152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bg-BG"/>
              </w:rPr>
              <w:t>Веднъж на 5 години“ на „Веднъж годишно“.</w:t>
            </w:r>
          </w:p>
          <w:p w:rsidR="006A7C72" w:rsidRPr="00CC152F" w:rsidRDefault="006A7C72" w:rsidP="006A7C72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В Таблица 13.2.1., д</w:t>
            </w:r>
            <w:r w:rsidRPr="00CC152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bg-BG"/>
              </w:rPr>
              <w:t>а се добави</w:t>
            </w:r>
            <w:r w:rsidRPr="00CC152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измерване на нивото на подземните води и да се добави показател – </w:t>
            </w:r>
            <w:proofErr w:type="spellStart"/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перманганатна</w:t>
            </w:r>
            <w:proofErr w:type="spellEnd"/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окисляемост</w:t>
            </w:r>
            <w:proofErr w:type="spellEnd"/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A7C72" w:rsidRPr="00CC152F" w:rsidRDefault="006A7C72" w:rsidP="006A7C72">
            <w:pPr>
              <w:spacing w:before="100" w:beforeAutospacing="1" w:after="120" w:line="240" w:lineRule="auto"/>
              <w:contextualSpacing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  <w:p w:rsidR="006A7C72" w:rsidRPr="00CC152F" w:rsidRDefault="006A7C72" w:rsidP="006A7C72">
            <w:pPr>
              <w:spacing w:before="100" w:beforeAutospacing="1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Мотиви:</w:t>
            </w:r>
            <w:r w:rsidRPr="00CC152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bg-BG"/>
              </w:rPr>
              <w:t xml:space="preserve"> В Разрешително за </w:t>
            </w:r>
            <w:r w:rsidRPr="00CC152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водовземане от подземни води чрез нови </w:t>
            </w:r>
            <w:proofErr w:type="spellStart"/>
            <w:r w:rsidRPr="00CC152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bg-BG"/>
              </w:rPr>
              <w:t>водовземни</w:t>
            </w:r>
            <w:proofErr w:type="spellEnd"/>
            <w:r w:rsidRPr="00CC152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bg-BG"/>
              </w:rPr>
              <w:t xml:space="preserve"> съоръжения № 11530401/10/28/2013, и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зменено с Решение № 2851/27.12.2019 г., са поставени „Изисквания към програмата за мониторинг:</w:t>
            </w:r>
          </w:p>
          <w:p w:rsidR="006A7C72" w:rsidRPr="00CC152F" w:rsidRDefault="006A7C72" w:rsidP="006A7C72">
            <w:pPr>
              <w:spacing w:before="100" w:beforeAutospacing="1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 измерване на нивото на подземните води на всеки кладенец:</w:t>
            </w:r>
          </w:p>
          <w:p w:rsidR="006A7C72" w:rsidRPr="00CC152F" w:rsidRDefault="006A7C72" w:rsidP="006A7C72">
            <w:pPr>
              <w:spacing w:before="100" w:beforeAutospacing="1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а) ежемесечно по време на работа на помпеното оборудване и </w:t>
            </w:r>
          </w:p>
          <w:p w:rsidR="006A7C72" w:rsidRPr="00CC152F" w:rsidRDefault="006A7C72" w:rsidP="006A7C72">
            <w:pPr>
              <w:spacing w:before="100" w:beforeAutospacing="1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б) в началото на всеки сезон преди включване на помпеното оборудване;</w:t>
            </w:r>
          </w:p>
          <w:p w:rsidR="006A7C72" w:rsidRPr="00CC152F" w:rsidRDefault="006A7C72" w:rsidP="006A7C72">
            <w:pPr>
              <w:spacing w:before="100" w:beforeAutospacing="1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3. </w:t>
            </w:r>
            <w:r w:rsidRPr="00CC1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ежегодно да изследва химичния състав на черпените подземни води на всеки кладенец</w:t>
            </w:r>
            <w:r w:rsidRPr="00CC1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по:</w:t>
            </w:r>
          </w:p>
          <w:p w:rsidR="006A7C72" w:rsidRPr="00CC152F" w:rsidRDefault="006A7C72" w:rsidP="006A7C72">
            <w:pPr>
              <w:spacing w:before="100" w:beforeAutospacing="1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а) показателите </w:t>
            </w:r>
            <w:proofErr w:type="spellStart"/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рН</w:t>
            </w:r>
            <w:proofErr w:type="spellEnd"/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 електропроводимост, концентрация на разтворен кислород, амониеви йони, нитрати, нитрити, фосфати, хлориди и сулфати;</w:t>
            </w:r>
          </w:p>
          <w:p w:rsidR="006A7C72" w:rsidRPr="00CC152F" w:rsidRDefault="006A7C72" w:rsidP="006A7C72">
            <w:pPr>
              <w:spacing w:before="100" w:beforeAutospacing="1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  <w:p w:rsidR="006A7C72" w:rsidRPr="00CC152F" w:rsidRDefault="006A7C72" w:rsidP="006A7C72">
            <w:pPr>
              <w:spacing w:before="100" w:beforeAutospacing="1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4. Изследване на химичния състав на черпените подземни води през 2023 г. и на всеки 6 години след това – за </w:t>
            </w:r>
            <w:proofErr w:type="spellStart"/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водоползватели</w:t>
            </w:r>
            <w:proofErr w:type="spellEnd"/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І категория при разрешено водовземане с дебит над 1 л/сек, включващо всички показатели по чл. 67, ал. 1 (Наредба № 1) и други йони, осигуряващи йонен баланс на анализа.</w:t>
            </w:r>
          </w:p>
          <w:p w:rsidR="006A7C72" w:rsidRPr="00CC152F" w:rsidRDefault="006A7C72" w:rsidP="006A7C72">
            <w:pPr>
              <w:spacing w:before="100" w:beforeAutospacing="1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Използване на </w:t>
            </w:r>
            <w:proofErr w:type="spellStart"/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хексан</w:t>
            </w:r>
            <w:proofErr w:type="spellEnd"/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в Инсталация за производство на растителни масла - цех Екстракция 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(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като реагент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) 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и наличието на подземно </w:t>
            </w:r>
            <w:proofErr w:type="spellStart"/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хексановото</w:t>
            </w:r>
            <w:proofErr w:type="spellEnd"/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стопанство - 3 цистерни за </w:t>
            </w:r>
            <w:proofErr w:type="spellStart"/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хексан</w:t>
            </w:r>
            <w:proofErr w:type="spellEnd"/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 всяка  по 40 м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 в зоната на цех Екстракция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 – </w:t>
            </w:r>
            <w:r w:rsidRPr="00CC1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е основание за предлагане на включване на </w:t>
            </w:r>
            <w:proofErr w:type="spellStart"/>
            <w:r w:rsidRPr="00CC1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перманганатна</w:t>
            </w:r>
            <w:proofErr w:type="spellEnd"/>
            <w:r w:rsidRPr="00CC1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</w:t>
            </w:r>
            <w:proofErr w:type="spellStart"/>
            <w:r w:rsidRPr="00CC1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окисляемост</w:t>
            </w:r>
            <w:proofErr w:type="spellEnd"/>
            <w:r w:rsidRPr="00CC15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като показател за мониторинг на подземни води.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323E11" w:rsidP="006A7C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Дирекция МООС, ИАОС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4001EB" w:rsidP="006A7C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Таблица 13.2.1. е коригирана.</w:t>
            </w:r>
          </w:p>
        </w:tc>
      </w:tr>
      <w:tr w:rsidR="00CC152F" w:rsidRPr="00CC152F" w:rsidTr="00BB5AF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jc w:val="center"/>
              <w:textAlignment w:val="baseline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CC1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Условие № 14. </w:t>
            </w:r>
            <w:r w:rsidRPr="00CC152F">
              <w:rPr>
                <w:rFonts w:ascii="Times New Roman" w:hAnsi="Times New Roman" w:cs="Times New Roman"/>
                <w:b/>
                <w:sz w:val="24"/>
                <w:szCs w:val="24"/>
              </w:rPr>
              <w:t>Предотвратяване и действия при аварии и случаи на непосредствена заплаха за екологични щети и/или причинени екологични щети</w:t>
            </w:r>
          </w:p>
        </w:tc>
      </w:tr>
      <w:tr w:rsidR="00CC152F" w:rsidRPr="00CC152F" w:rsidTr="00B83439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Условие 14.4</w:t>
            </w:r>
            <w:r w:rsidRPr="00CC1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 се допълни както следва:</w:t>
            </w:r>
          </w:p>
          <w:p w:rsidR="006A7C72" w:rsidRPr="00CC152F" w:rsidRDefault="006A7C72" w:rsidP="006A7C72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C15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„Притежателят на настоящото разрешително незабавно да уведомява РИОСВ и БД и да води документация за следните случаи…“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Условието е коригирано</w:t>
            </w:r>
          </w:p>
        </w:tc>
      </w:tr>
      <w:tr w:rsidR="00CC152F" w:rsidRPr="00CC152F" w:rsidTr="00AE50F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Условие </w:t>
            </w:r>
            <w:r w:rsidRPr="00CC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C152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15. Преходни режими на работа (пускане, спиране, внезапни спирания и други)</w:t>
            </w:r>
          </w:p>
        </w:tc>
      </w:tr>
      <w:tr w:rsidR="00CC152F" w:rsidRPr="00CC152F" w:rsidTr="00B83439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В ТО</w:t>
            </w: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Условие 15.4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Съгласно </w:t>
            </w:r>
            <w:r w:rsidRPr="00CC152F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чл. 125, ал.1, т.6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чл. 123в, т.6 от ЗООС и формат на ГДОС, съгласно образец на годишен доклад за изпълнение на дейностите, за които е предоставено комплексно разрешително….( чл.125, ал. 1 от ЗООС е отм. – ДВ, бр. 98  от 2018г., в сила от 28.08.2019 г.). Корекцията е аналогична и за Условие № 15 и Условие № 16.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Условието е коригирано</w:t>
            </w:r>
          </w:p>
        </w:tc>
      </w:tr>
      <w:tr w:rsidR="00CC152F" w:rsidRPr="00CC152F" w:rsidTr="00AE50F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Условие № 16. Прекратяване на работата на инсталациите или на части от тях</w:t>
            </w:r>
          </w:p>
        </w:tc>
      </w:tr>
      <w:tr w:rsidR="006A7C72" w:rsidRPr="00CC152F" w:rsidTr="00B83439">
        <w:trPr>
          <w:trHeight w:val="30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>В ТО</w:t>
            </w: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Условие 8.1.6.1.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Съгласно </w:t>
            </w:r>
            <w:r w:rsidRPr="00CC152F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чл. 125, ал.1, т.6</w:t>
            </w:r>
            <w:r w:rsidRPr="00CC15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чл. 123в, т.6 от ЗООС и формат на ГДОС, съгласно образец на годишен доклад за изпълнение на дейностите, за които е предоставено комплексно разрешително….( чл.125, ал. 1 от ЗООС е отм. – ДВ, бр. 98  от 2018г., в сила от 28.08.2019 г.). Корекцията е аналогична и за Условие № 15 и Условие № 16.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C72" w:rsidRPr="00CC152F" w:rsidRDefault="006A7C72" w:rsidP="006A7C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15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Условието е коригирано.</w:t>
            </w:r>
          </w:p>
        </w:tc>
      </w:tr>
    </w:tbl>
    <w:p w:rsidR="002527B2" w:rsidRPr="00CC152F" w:rsidRDefault="002527B2">
      <w:pPr>
        <w:rPr>
          <w:rFonts w:ascii="Times New Roman" w:hAnsi="Times New Roman" w:cs="Times New Roman"/>
          <w:sz w:val="24"/>
          <w:szCs w:val="24"/>
        </w:rPr>
      </w:pPr>
    </w:p>
    <w:sectPr w:rsidR="002527B2" w:rsidRPr="00CC152F" w:rsidSect="006619F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32A1"/>
    <w:multiLevelType w:val="hybridMultilevel"/>
    <w:tmpl w:val="90B272BC"/>
    <w:lvl w:ilvl="0" w:tplc="15EC4AC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CD669C"/>
    <w:multiLevelType w:val="hybridMultilevel"/>
    <w:tmpl w:val="7DACCE60"/>
    <w:lvl w:ilvl="0" w:tplc="E3C0BC8E">
      <w:numFmt w:val="bullet"/>
      <w:lvlText w:val="-"/>
      <w:lvlJc w:val="left"/>
      <w:pPr>
        <w:ind w:left="922" w:hanging="359"/>
      </w:pPr>
      <w:rPr>
        <w:rFonts w:ascii="Times New Roman" w:eastAsia="Times New Roman" w:hAnsi="Times New Roman" w:cs="Times New Roman" w:hint="default"/>
        <w:w w:val="97"/>
        <w:lang w:val="bg-BG" w:eastAsia="en-US" w:bidi="ar-SA"/>
      </w:rPr>
    </w:lvl>
    <w:lvl w:ilvl="1" w:tplc="0D084CD8">
      <w:numFmt w:val="bullet"/>
      <w:lvlText w:val="-"/>
      <w:lvlJc w:val="left"/>
      <w:pPr>
        <w:ind w:left="491" w:hanging="362"/>
      </w:pPr>
      <w:rPr>
        <w:rFonts w:ascii="Times New Roman" w:eastAsia="Times New Roman" w:hAnsi="Times New Roman" w:cs="Times New Roman" w:hint="default"/>
        <w:w w:val="102"/>
        <w:lang w:val="bg-BG" w:eastAsia="en-US" w:bidi="ar-SA"/>
      </w:rPr>
    </w:lvl>
    <w:lvl w:ilvl="2" w:tplc="5C440290">
      <w:numFmt w:val="bullet"/>
      <w:lvlText w:val="•"/>
      <w:lvlJc w:val="left"/>
      <w:pPr>
        <w:ind w:left="920" w:hanging="362"/>
      </w:pPr>
      <w:rPr>
        <w:lang w:val="bg-BG" w:eastAsia="en-US" w:bidi="ar-SA"/>
      </w:rPr>
    </w:lvl>
    <w:lvl w:ilvl="3" w:tplc="C186E2CE">
      <w:numFmt w:val="bullet"/>
      <w:lvlText w:val="•"/>
      <w:lvlJc w:val="left"/>
      <w:pPr>
        <w:ind w:left="2147" w:hanging="362"/>
      </w:pPr>
      <w:rPr>
        <w:lang w:val="bg-BG" w:eastAsia="en-US" w:bidi="ar-SA"/>
      </w:rPr>
    </w:lvl>
    <w:lvl w:ilvl="4" w:tplc="AA724782">
      <w:numFmt w:val="bullet"/>
      <w:lvlText w:val="•"/>
      <w:lvlJc w:val="left"/>
      <w:pPr>
        <w:ind w:left="3375" w:hanging="362"/>
      </w:pPr>
      <w:rPr>
        <w:lang w:val="bg-BG" w:eastAsia="en-US" w:bidi="ar-SA"/>
      </w:rPr>
    </w:lvl>
    <w:lvl w:ilvl="5" w:tplc="D660CBE0">
      <w:numFmt w:val="bullet"/>
      <w:lvlText w:val="•"/>
      <w:lvlJc w:val="left"/>
      <w:pPr>
        <w:ind w:left="4602" w:hanging="362"/>
      </w:pPr>
      <w:rPr>
        <w:lang w:val="bg-BG" w:eastAsia="en-US" w:bidi="ar-SA"/>
      </w:rPr>
    </w:lvl>
    <w:lvl w:ilvl="6" w:tplc="0F80E7EC">
      <w:numFmt w:val="bullet"/>
      <w:lvlText w:val="•"/>
      <w:lvlJc w:val="left"/>
      <w:pPr>
        <w:ind w:left="5830" w:hanging="362"/>
      </w:pPr>
      <w:rPr>
        <w:lang w:val="bg-BG" w:eastAsia="en-US" w:bidi="ar-SA"/>
      </w:rPr>
    </w:lvl>
    <w:lvl w:ilvl="7" w:tplc="DFC8B462">
      <w:numFmt w:val="bullet"/>
      <w:lvlText w:val="•"/>
      <w:lvlJc w:val="left"/>
      <w:pPr>
        <w:ind w:left="7057" w:hanging="362"/>
      </w:pPr>
      <w:rPr>
        <w:lang w:val="bg-BG" w:eastAsia="en-US" w:bidi="ar-SA"/>
      </w:rPr>
    </w:lvl>
    <w:lvl w:ilvl="8" w:tplc="86FAAEC6">
      <w:numFmt w:val="bullet"/>
      <w:lvlText w:val="•"/>
      <w:lvlJc w:val="left"/>
      <w:pPr>
        <w:ind w:left="8285" w:hanging="362"/>
      </w:pPr>
      <w:rPr>
        <w:lang w:val="bg-BG" w:eastAsia="en-US" w:bidi="ar-SA"/>
      </w:rPr>
    </w:lvl>
  </w:abstractNum>
  <w:abstractNum w:abstractNumId="2">
    <w:nsid w:val="55067CD3"/>
    <w:multiLevelType w:val="hybridMultilevel"/>
    <w:tmpl w:val="EB1E87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3A2F9F"/>
    <w:multiLevelType w:val="multilevel"/>
    <w:tmpl w:val="AC605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62534C79"/>
    <w:multiLevelType w:val="hybridMultilevel"/>
    <w:tmpl w:val="1D021758"/>
    <w:lvl w:ilvl="0" w:tplc="FFFFFFFF">
      <w:start w:val="1"/>
      <w:numFmt w:val="bullet"/>
      <w:lvlText w:val="-"/>
      <w:lvlJc w:val="left"/>
      <w:pPr>
        <w:tabs>
          <w:tab w:val="num" w:pos="1136"/>
        </w:tabs>
        <w:ind w:left="113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F304E"/>
    <w:multiLevelType w:val="hybridMultilevel"/>
    <w:tmpl w:val="8726332E"/>
    <w:lvl w:ilvl="0" w:tplc="F5C64E8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CE"/>
    <w:rsid w:val="00011D0D"/>
    <w:rsid w:val="00021151"/>
    <w:rsid w:val="000233D5"/>
    <w:rsid w:val="00034D93"/>
    <w:rsid w:val="000445FF"/>
    <w:rsid w:val="000540FF"/>
    <w:rsid w:val="00054685"/>
    <w:rsid w:val="00054CCE"/>
    <w:rsid w:val="0006728C"/>
    <w:rsid w:val="000777BC"/>
    <w:rsid w:val="000813A3"/>
    <w:rsid w:val="000945EE"/>
    <w:rsid w:val="000A242A"/>
    <w:rsid w:val="000C01FB"/>
    <w:rsid w:val="000D320F"/>
    <w:rsid w:val="000D36FF"/>
    <w:rsid w:val="000E568C"/>
    <w:rsid w:val="00101134"/>
    <w:rsid w:val="0011243D"/>
    <w:rsid w:val="00124686"/>
    <w:rsid w:val="0014582F"/>
    <w:rsid w:val="001532EC"/>
    <w:rsid w:val="00157706"/>
    <w:rsid w:val="00157C3F"/>
    <w:rsid w:val="00163BA8"/>
    <w:rsid w:val="001736DF"/>
    <w:rsid w:val="00185015"/>
    <w:rsid w:val="00187902"/>
    <w:rsid w:val="0019457B"/>
    <w:rsid w:val="00195AEB"/>
    <w:rsid w:val="001A06F3"/>
    <w:rsid w:val="001A0BB2"/>
    <w:rsid w:val="001A6F7C"/>
    <w:rsid w:val="001B06A6"/>
    <w:rsid w:val="001D0DF4"/>
    <w:rsid w:val="001D4357"/>
    <w:rsid w:val="001D72DC"/>
    <w:rsid w:val="001E3338"/>
    <w:rsid w:val="001F4CCC"/>
    <w:rsid w:val="00200293"/>
    <w:rsid w:val="0020418F"/>
    <w:rsid w:val="00215499"/>
    <w:rsid w:val="00217C9D"/>
    <w:rsid w:val="0022216E"/>
    <w:rsid w:val="0022258C"/>
    <w:rsid w:val="002227B3"/>
    <w:rsid w:val="002332F4"/>
    <w:rsid w:val="00233663"/>
    <w:rsid w:val="00233A0F"/>
    <w:rsid w:val="00241BCE"/>
    <w:rsid w:val="00251411"/>
    <w:rsid w:val="00251BF1"/>
    <w:rsid w:val="002527B2"/>
    <w:rsid w:val="0025343C"/>
    <w:rsid w:val="00263ACE"/>
    <w:rsid w:val="00270203"/>
    <w:rsid w:val="0027393E"/>
    <w:rsid w:val="00274CBB"/>
    <w:rsid w:val="00280522"/>
    <w:rsid w:val="00282F82"/>
    <w:rsid w:val="0028304F"/>
    <w:rsid w:val="00285F4D"/>
    <w:rsid w:val="002953FB"/>
    <w:rsid w:val="002B0BD3"/>
    <w:rsid w:val="002B25D0"/>
    <w:rsid w:val="002D4EAE"/>
    <w:rsid w:val="003068FB"/>
    <w:rsid w:val="00310B33"/>
    <w:rsid w:val="00315CFC"/>
    <w:rsid w:val="0031640E"/>
    <w:rsid w:val="003164E8"/>
    <w:rsid w:val="00320CB2"/>
    <w:rsid w:val="003231E1"/>
    <w:rsid w:val="00323E11"/>
    <w:rsid w:val="00326371"/>
    <w:rsid w:val="003459CC"/>
    <w:rsid w:val="00350F93"/>
    <w:rsid w:val="00352D53"/>
    <w:rsid w:val="003559A2"/>
    <w:rsid w:val="00355CAE"/>
    <w:rsid w:val="00356CEE"/>
    <w:rsid w:val="003704D2"/>
    <w:rsid w:val="00370A8F"/>
    <w:rsid w:val="00370FD1"/>
    <w:rsid w:val="0038126A"/>
    <w:rsid w:val="00386052"/>
    <w:rsid w:val="003A7447"/>
    <w:rsid w:val="003B15F2"/>
    <w:rsid w:val="003B35DA"/>
    <w:rsid w:val="003B5B64"/>
    <w:rsid w:val="003C2800"/>
    <w:rsid w:val="003C3620"/>
    <w:rsid w:val="003C394F"/>
    <w:rsid w:val="003C4550"/>
    <w:rsid w:val="003C631B"/>
    <w:rsid w:val="003D35E9"/>
    <w:rsid w:val="003F1ACF"/>
    <w:rsid w:val="004001EB"/>
    <w:rsid w:val="004021AD"/>
    <w:rsid w:val="00427122"/>
    <w:rsid w:val="00440A26"/>
    <w:rsid w:val="00441008"/>
    <w:rsid w:val="0044134B"/>
    <w:rsid w:val="00443A9A"/>
    <w:rsid w:val="00447E7D"/>
    <w:rsid w:val="004575FC"/>
    <w:rsid w:val="00480F4B"/>
    <w:rsid w:val="00497CAC"/>
    <w:rsid w:val="004B2BCD"/>
    <w:rsid w:val="004C2F0E"/>
    <w:rsid w:val="004D10C4"/>
    <w:rsid w:val="004D3917"/>
    <w:rsid w:val="004E6748"/>
    <w:rsid w:val="004F4C5D"/>
    <w:rsid w:val="004F505D"/>
    <w:rsid w:val="00503BC7"/>
    <w:rsid w:val="00511E1C"/>
    <w:rsid w:val="005134FC"/>
    <w:rsid w:val="00525806"/>
    <w:rsid w:val="00527532"/>
    <w:rsid w:val="00530F82"/>
    <w:rsid w:val="00541751"/>
    <w:rsid w:val="00546EDA"/>
    <w:rsid w:val="00547D4B"/>
    <w:rsid w:val="00553981"/>
    <w:rsid w:val="0055768A"/>
    <w:rsid w:val="00584FA0"/>
    <w:rsid w:val="00597E85"/>
    <w:rsid w:val="005A73DE"/>
    <w:rsid w:val="005B071F"/>
    <w:rsid w:val="005B2C10"/>
    <w:rsid w:val="005B60D8"/>
    <w:rsid w:val="005C2AC6"/>
    <w:rsid w:val="005C55AD"/>
    <w:rsid w:val="005D7725"/>
    <w:rsid w:val="005E0FDE"/>
    <w:rsid w:val="005E466A"/>
    <w:rsid w:val="005E641F"/>
    <w:rsid w:val="005F3420"/>
    <w:rsid w:val="0064052A"/>
    <w:rsid w:val="00642A7C"/>
    <w:rsid w:val="006557AD"/>
    <w:rsid w:val="00656111"/>
    <w:rsid w:val="006619F5"/>
    <w:rsid w:val="00663463"/>
    <w:rsid w:val="00670DD2"/>
    <w:rsid w:val="006953DB"/>
    <w:rsid w:val="00696A11"/>
    <w:rsid w:val="00696C54"/>
    <w:rsid w:val="006A40C4"/>
    <w:rsid w:val="006A5B39"/>
    <w:rsid w:val="006A7C72"/>
    <w:rsid w:val="006B0FCE"/>
    <w:rsid w:val="006C75FA"/>
    <w:rsid w:val="006D0361"/>
    <w:rsid w:val="006E0A4A"/>
    <w:rsid w:val="006E2D38"/>
    <w:rsid w:val="006E5746"/>
    <w:rsid w:val="006E6C1E"/>
    <w:rsid w:val="006F5176"/>
    <w:rsid w:val="006F77EE"/>
    <w:rsid w:val="007009D2"/>
    <w:rsid w:val="00704A35"/>
    <w:rsid w:val="00704B60"/>
    <w:rsid w:val="007078FC"/>
    <w:rsid w:val="00710652"/>
    <w:rsid w:val="00716FE9"/>
    <w:rsid w:val="00721C48"/>
    <w:rsid w:val="0072743F"/>
    <w:rsid w:val="00733446"/>
    <w:rsid w:val="007437F8"/>
    <w:rsid w:val="00751BA4"/>
    <w:rsid w:val="007540D2"/>
    <w:rsid w:val="00756DD7"/>
    <w:rsid w:val="00763933"/>
    <w:rsid w:val="007675B5"/>
    <w:rsid w:val="00770DF4"/>
    <w:rsid w:val="00771081"/>
    <w:rsid w:val="00772473"/>
    <w:rsid w:val="007749D2"/>
    <w:rsid w:val="00774E38"/>
    <w:rsid w:val="00774F1F"/>
    <w:rsid w:val="0078317E"/>
    <w:rsid w:val="007958E4"/>
    <w:rsid w:val="007A1ACF"/>
    <w:rsid w:val="007A5C7E"/>
    <w:rsid w:val="007A6BF7"/>
    <w:rsid w:val="007A780C"/>
    <w:rsid w:val="007A7F97"/>
    <w:rsid w:val="007B1089"/>
    <w:rsid w:val="007B473E"/>
    <w:rsid w:val="007B7081"/>
    <w:rsid w:val="007D0204"/>
    <w:rsid w:val="007D4FCD"/>
    <w:rsid w:val="007D602C"/>
    <w:rsid w:val="007E7072"/>
    <w:rsid w:val="007F6ACE"/>
    <w:rsid w:val="007F7E7B"/>
    <w:rsid w:val="00803B5D"/>
    <w:rsid w:val="00805073"/>
    <w:rsid w:val="00805272"/>
    <w:rsid w:val="00815AC0"/>
    <w:rsid w:val="00823241"/>
    <w:rsid w:val="00825B25"/>
    <w:rsid w:val="008263D5"/>
    <w:rsid w:val="00842001"/>
    <w:rsid w:val="00846F42"/>
    <w:rsid w:val="008638CC"/>
    <w:rsid w:val="00864272"/>
    <w:rsid w:val="00864D39"/>
    <w:rsid w:val="00870E55"/>
    <w:rsid w:val="00873123"/>
    <w:rsid w:val="0088365F"/>
    <w:rsid w:val="00886D2C"/>
    <w:rsid w:val="008874DA"/>
    <w:rsid w:val="008906A7"/>
    <w:rsid w:val="00894460"/>
    <w:rsid w:val="008A36E8"/>
    <w:rsid w:val="008A3AC2"/>
    <w:rsid w:val="008B3C41"/>
    <w:rsid w:val="008B5A37"/>
    <w:rsid w:val="008C309A"/>
    <w:rsid w:val="008D0DC7"/>
    <w:rsid w:val="008D2508"/>
    <w:rsid w:val="008D5EDA"/>
    <w:rsid w:val="008E6073"/>
    <w:rsid w:val="008E6DE5"/>
    <w:rsid w:val="008F423C"/>
    <w:rsid w:val="009059A1"/>
    <w:rsid w:val="009334B1"/>
    <w:rsid w:val="00935E71"/>
    <w:rsid w:val="009466EE"/>
    <w:rsid w:val="00952F5D"/>
    <w:rsid w:val="00960CD6"/>
    <w:rsid w:val="0096306D"/>
    <w:rsid w:val="00971F63"/>
    <w:rsid w:val="00984033"/>
    <w:rsid w:val="009859FD"/>
    <w:rsid w:val="00985D43"/>
    <w:rsid w:val="00990836"/>
    <w:rsid w:val="0099192B"/>
    <w:rsid w:val="00993A7C"/>
    <w:rsid w:val="00997B3B"/>
    <w:rsid w:val="009B0FB1"/>
    <w:rsid w:val="009B275E"/>
    <w:rsid w:val="009B4FF7"/>
    <w:rsid w:val="009B6C5B"/>
    <w:rsid w:val="009C313B"/>
    <w:rsid w:val="009D06DA"/>
    <w:rsid w:val="009D14BA"/>
    <w:rsid w:val="009E51BC"/>
    <w:rsid w:val="009E67AF"/>
    <w:rsid w:val="00A03828"/>
    <w:rsid w:val="00A05BA5"/>
    <w:rsid w:val="00A357BA"/>
    <w:rsid w:val="00A35D13"/>
    <w:rsid w:val="00A4067D"/>
    <w:rsid w:val="00A5190D"/>
    <w:rsid w:val="00A56E86"/>
    <w:rsid w:val="00A62055"/>
    <w:rsid w:val="00A62E86"/>
    <w:rsid w:val="00A644E4"/>
    <w:rsid w:val="00A92DA6"/>
    <w:rsid w:val="00A9398B"/>
    <w:rsid w:val="00A951B4"/>
    <w:rsid w:val="00A96082"/>
    <w:rsid w:val="00AA5A61"/>
    <w:rsid w:val="00AA7ABF"/>
    <w:rsid w:val="00AC0B28"/>
    <w:rsid w:val="00AC6C30"/>
    <w:rsid w:val="00AC7A79"/>
    <w:rsid w:val="00AD0EB8"/>
    <w:rsid w:val="00AD14EB"/>
    <w:rsid w:val="00AD1D98"/>
    <w:rsid w:val="00AD2529"/>
    <w:rsid w:val="00AD2F6D"/>
    <w:rsid w:val="00AD2F91"/>
    <w:rsid w:val="00AD5D80"/>
    <w:rsid w:val="00AE50F4"/>
    <w:rsid w:val="00B046B2"/>
    <w:rsid w:val="00B07A3C"/>
    <w:rsid w:val="00B161AF"/>
    <w:rsid w:val="00B3361B"/>
    <w:rsid w:val="00B34474"/>
    <w:rsid w:val="00B46C25"/>
    <w:rsid w:val="00B511DC"/>
    <w:rsid w:val="00B60953"/>
    <w:rsid w:val="00B60FA4"/>
    <w:rsid w:val="00B61497"/>
    <w:rsid w:val="00B62418"/>
    <w:rsid w:val="00B630B7"/>
    <w:rsid w:val="00B65E65"/>
    <w:rsid w:val="00B700B1"/>
    <w:rsid w:val="00B75A0F"/>
    <w:rsid w:val="00B76E38"/>
    <w:rsid w:val="00B80ED5"/>
    <w:rsid w:val="00B83439"/>
    <w:rsid w:val="00B84B2F"/>
    <w:rsid w:val="00B94027"/>
    <w:rsid w:val="00BA2621"/>
    <w:rsid w:val="00BB4F48"/>
    <w:rsid w:val="00BB5AF3"/>
    <w:rsid w:val="00BB5F18"/>
    <w:rsid w:val="00BB7415"/>
    <w:rsid w:val="00BB758C"/>
    <w:rsid w:val="00BC4F72"/>
    <w:rsid w:val="00BC7690"/>
    <w:rsid w:val="00BD33EA"/>
    <w:rsid w:val="00BE0368"/>
    <w:rsid w:val="00BE08EC"/>
    <w:rsid w:val="00BE5A49"/>
    <w:rsid w:val="00BF0843"/>
    <w:rsid w:val="00BF68CE"/>
    <w:rsid w:val="00C12133"/>
    <w:rsid w:val="00C24B40"/>
    <w:rsid w:val="00C26823"/>
    <w:rsid w:val="00C5102A"/>
    <w:rsid w:val="00C5522C"/>
    <w:rsid w:val="00C61972"/>
    <w:rsid w:val="00C661B9"/>
    <w:rsid w:val="00C67CC8"/>
    <w:rsid w:val="00C74167"/>
    <w:rsid w:val="00C93D07"/>
    <w:rsid w:val="00C95FCA"/>
    <w:rsid w:val="00CA5D2E"/>
    <w:rsid w:val="00CA7918"/>
    <w:rsid w:val="00CB6C94"/>
    <w:rsid w:val="00CC152F"/>
    <w:rsid w:val="00CC2F8D"/>
    <w:rsid w:val="00CD26AF"/>
    <w:rsid w:val="00CD6191"/>
    <w:rsid w:val="00CD67E0"/>
    <w:rsid w:val="00D005FB"/>
    <w:rsid w:val="00D04E1E"/>
    <w:rsid w:val="00D1645A"/>
    <w:rsid w:val="00D2585A"/>
    <w:rsid w:val="00D273C9"/>
    <w:rsid w:val="00D37C67"/>
    <w:rsid w:val="00D53654"/>
    <w:rsid w:val="00D54667"/>
    <w:rsid w:val="00D55CC7"/>
    <w:rsid w:val="00D5676A"/>
    <w:rsid w:val="00D62D14"/>
    <w:rsid w:val="00D715A4"/>
    <w:rsid w:val="00D87A7D"/>
    <w:rsid w:val="00D91E2A"/>
    <w:rsid w:val="00D95B15"/>
    <w:rsid w:val="00D97E1C"/>
    <w:rsid w:val="00DA62B1"/>
    <w:rsid w:val="00DB72A9"/>
    <w:rsid w:val="00DC6920"/>
    <w:rsid w:val="00DD008B"/>
    <w:rsid w:val="00DD22B8"/>
    <w:rsid w:val="00DD2AA6"/>
    <w:rsid w:val="00DD2BED"/>
    <w:rsid w:val="00DD6B04"/>
    <w:rsid w:val="00DD6DC1"/>
    <w:rsid w:val="00DD7BEA"/>
    <w:rsid w:val="00DE3ECE"/>
    <w:rsid w:val="00DF51EC"/>
    <w:rsid w:val="00DF70EC"/>
    <w:rsid w:val="00E04004"/>
    <w:rsid w:val="00E14108"/>
    <w:rsid w:val="00E159AB"/>
    <w:rsid w:val="00E2113E"/>
    <w:rsid w:val="00E36269"/>
    <w:rsid w:val="00E377B4"/>
    <w:rsid w:val="00E43392"/>
    <w:rsid w:val="00E535EF"/>
    <w:rsid w:val="00E6247B"/>
    <w:rsid w:val="00E63498"/>
    <w:rsid w:val="00E75B73"/>
    <w:rsid w:val="00E9122B"/>
    <w:rsid w:val="00E913BC"/>
    <w:rsid w:val="00E91CDD"/>
    <w:rsid w:val="00EA0E1F"/>
    <w:rsid w:val="00EA1206"/>
    <w:rsid w:val="00EA3765"/>
    <w:rsid w:val="00EB5582"/>
    <w:rsid w:val="00EB6174"/>
    <w:rsid w:val="00EB7910"/>
    <w:rsid w:val="00EF775E"/>
    <w:rsid w:val="00F0609C"/>
    <w:rsid w:val="00F323D2"/>
    <w:rsid w:val="00F32431"/>
    <w:rsid w:val="00F348B2"/>
    <w:rsid w:val="00F43244"/>
    <w:rsid w:val="00F52B9B"/>
    <w:rsid w:val="00F5317B"/>
    <w:rsid w:val="00F569CB"/>
    <w:rsid w:val="00F61C48"/>
    <w:rsid w:val="00F667D2"/>
    <w:rsid w:val="00F67882"/>
    <w:rsid w:val="00F70A17"/>
    <w:rsid w:val="00F90305"/>
    <w:rsid w:val="00F908AE"/>
    <w:rsid w:val="00F91E75"/>
    <w:rsid w:val="00F93904"/>
    <w:rsid w:val="00F97E1A"/>
    <w:rsid w:val="00FA6BC8"/>
    <w:rsid w:val="00FA7B01"/>
    <w:rsid w:val="00FB026F"/>
    <w:rsid w:val="00FB2ABE"/>
    <w:rsid w:val="00FC7E74"/>
    <w:rsid w:val="00FD68CC"/>
    <w:rsid w:val="00FE7134"/>
    <w:rsid w:val="00FF05B5"/>
    <w:rsid w:val="00FF0C05"/>
    <w:rsid w:val="00FF2088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20"/>
    <w:pPr>
      <w:ind w:left="720"/>
      <w:contextualSpacing/>
    </w:pPr>
  </w:style>
  <w:style w:type="paragraph" w:customStyle="1" w:styleId="a">
    <w:name w:val="Текст"/>
    <w:basedOn w:val="Normal"/>
    <w:link w:val="Char"/>
    <w:qFormat/>
    <w:rsid w:val="00157706"/>
    <w:pPr>
      <w:spacing w:before="120" w:after="120" w:line="276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Текст Char"/>
    <w:link w:val="a"/>
    <w:rsid w:val="001577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80"/>
    <w:rPr>
      <w:rFonts w:ascii="Segoe UI" w:hAnsi="Segoe UI" w:cs="Segoe UI"/>
      <w:sz w:val="18"/>
      <w:szCs w:val="18"/>
    </w:rPr>
  </w:style>
  <w:style w:type="paragraph" w:customStyle="1" w:styleId="doc-ti">
    <w:name w:val="doc-ti"/>
    <w:basedOn w:val="Normal"/>
    <w:rsid w:val="0071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20"/>
    <w:pPr>
      <w:ind w:left="720"/>
      <w:contextualSpacing/>
    </w:pPr>
  </w:style>
  <w:style w:type="paragraph" w:customStyle="1" w:styleId="a">
    <w:name w:val="Текст"/>
    <w:basedOn w:val="Normal"/>
    <w:link w:val="Char"/>
    <w:qFormat/>
    <w:rsid w:val="00157706"/>
    <w:pPr>
      <w:spacing w:before="120" w:after="120" w:line="276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Текст Char"/>
    <w:link w:val="a"/>
    <w:rsid w:val="001577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80"/>
    <w:rPr>
      <w:rFonts w:ascii="Segoe UI" w:hAnsi="Segoe UI" w:cs="Segoe UI"/>
      <w:sz w:val="18"/>
      <w:szCs w:val="18"/>
    </w:rPr>
  </w:style>
  <w:style w:type="paragraph" w:customStyle="1" w:styleId="doc-ti">
    <w:name w:val="doc-ti"/>
    <w:basedOn w:val="Normal"/>
    <w:rsid w:val="0071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FBDE0-B508-4949-A1A7-146C8AA3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Веселина Иванова</dc:creator>
  <cp:lastModifiedBy>Росица Цонева</cp:lastModifiedBy>
  <cp:revision>2</cp:revision>
  <cp:lastPrinted>2023-04-11T13:44:00Z</cp:lastPrinted>
  <dcterms:created xsi:type="dcterms:W3CDTF">2023-05-16T07:51:00Z</dcterms:created>
  <dcterms:modified xsi:type="dcterms:W3CDTF">2023-05-16T07:51:00Z</dcterms:modified>
</cp:coreProperties>
</file>