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706E3A" w:rsidRP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06E3A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</w:p>
    <w:p w:rsidR="00706E3A" w:rsidRP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both"/>
        <w:outlineLvl w:val="5"/>
        <w:rPr>
          <w:rFonts w:ascii="Times New Roman" w:hAnsi="Times New Roman"/>
          <w:b/>
          <w:sz w:val="24"/>
          <w:szCs w:val="24"/>
          <w:lang w:eastAsia="bg-BG"/>
        </w:rPr>
      </w:pPr>
      <w:r w:rsidRPr="00706E3A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</w:t>
      </w:r>
      <w:r w:rsidRPr="00706E3A">
        <w:rPr>
          <w:rFonts w:ascii="Times New Roman" w:hAnsi="Times New Roman"/>
          <w:sz w:val="24"/>
          <w:szCs w:val="24"/>
          <w:lang w:eastAsia="bg-BG"/>
        </w:rPr>
        <w:t xml:space="preserve">6, </w:t>
      </w:r>
      <w:r w:rsidRPr="00706E3A">
        <w:rPr>
          <w:rFonts w:ascii="Times New Roman" w:hAnsi="Times New Roman"/>
          <w:sz w:val="24"/>
          <w:szCs w:val="24"/>
          <w:lang w:val="bg-BG" w:eastAsia="bg-BG"/>
        </w:rPr>
        <w:t xml:space="preserve">т. 1 и т. </w:t>
      </w:r>
      <w:r w:rsidRPr="00706E3A">
        <w:rPr>
          <w:rFonts w:ascii="Times New Roman" w:hAnsi="Times New Roman"/>
          <w:sz w:val="24"/>
          <w:szCs w:val="24"/>
          <w:lang w:eastAsia="bg-BG"/>
        </w:rPr>
        <w:t>2</w:t>
      </w:r>
      <w:r w:rsidRPr="00706E3A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706E3A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706E3A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 (КР) за издаване на </w:t>
      </w:r>
      <w:r w:rsidRPr="00706E3A">
        <w:rPr>
          <w:rFonts w:ascii="Times New Roman" w:hAnsi="Times New Roman"/>
          <w:b/>
          <w:sz w:val="24"/>
          <w:szCs w:val="24"/>
          <w:lang w:val="bg-BG" w:eastAsia="bg-BG"/>
        </w:rPr>
        <w:t xml:space="preserve">ново комплексно разрешително на </w:t>
      </w:r>
      <w:r w:rsidRPr="00706E3A">
        <w:rPr>
          <w:rFonts w:ascii="Times New Roman" w:hAnsi="Times New Roman"/>
          <w:b/>
          <w:sz w:val="24"/>
          <w:szCs w:val="24"/>
          <w:lang w:eastAsia="bg-BG"/>
        </w:rPr>
        <w:t xml:space="preserve">„СТАРТ“ АД, гр. Добрич, </w:t>
      </w:r>
      <w:r w:rsidRPr="00706E3A">
        <w:rPr>
          <w:rFonts w:ascii="Times New Roman" w:hAnsi="Times New Roman"/>
          <w:sz w:val="24"/>
          <w:szCs w:val="24"/>
          <w:lang w:eastAsia="bg-BG"/>
        </w:rPr>
        <w:t>за експлоатация на</w:t>
      </w:r>
      <w:r w:rsidRPr="00706E3A">
        <w:rPr>
          <w:rFonts w:ascii="Times New Roman" w:hAnsi="Times New Roman"/>
          <w:b/>
          <w:sz w:val="24"/>
          <w:szCs w:val="24"/>
          <w:lang w:eastAsia="bg-BG"/>
        </w:rPr>
        <w:t xml:space="preserve"> „Инсталация за производство на оловно-киселинни акумулаторни батерии (ИПОКАкБ</w:t>
      </w:r>
      <w:proofErr w:type="gramStart"/>
      <w:r w:rsidRPr="00706E3A">
        <w:rPr>
          <w:rFonts w:ascii="Times New Roman" w:hAnsi="Times New Roman"/>
          <w:b/>
          <w:sz w:val="24"/>
          <w:szCs w:val="24"/>
          <w:lang w:eastAsia="bg-BG"/>
        </w:rPr>
        <w:t>)“</w:t>
      </w:r>
      <w:proofErr w:type="gramEnd"/>
      <w:r w:rsidRPr="00706E3A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 w:rsidRPr="00706E3A">
        <w:rPr>
          <w:rFonts w:ascii="Times New Roman" w:hAnsi="Times New Roman"/>
          <w:sz w:val="24"/>
          <w:szCs w:val="24"/>
          <w:lang w:eastAsia="bg-BG"/>
        </w:rPr>
        <w:t>изпълняваща дейност, съгласно т. 2.5 „б“ от Приложение № 4 към ЗООС - „Инсталации за претопяване, включително сплавяване на метали, различни от изброените в т. 2.2, 2.3 и 2.4, включително на възстановени продукти и експлоатация на леярни, с топилен капацитет над 4 т за денонощие за олово и за кадмий и 20 т за денонощие за всички останали метали“</w:t>
      </w:r>
      <w:r w:rsidRPr="00706E3A"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706E3A" w:rsidRP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706E3A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706E3A">
        <w:rPr>
          <w:rFonts w:ascii="Times New Roman" w:hAnsi="Times New Roman"/>
          <w:b/>
          <w:sz w:val="24"/>
          <w:szCs w:val="24"/>
          <w:lang w:val="bg-BG"/>
        </w:rPr>
        <w:t>23.12.2022 г. до 05.01.2023 г.</w:t>
      </w:r>
      <w:r w:rsidRPr="00706E3A">
        <w:rPr>
          <w:rFonts w:ascii="Times New Roman" w:hAnsi="Times New Roman"/>
          <w:bCs/>
          <w:sz w:val="24"/>
          <w:szCs w:val="24"/>
          <w:lang w:val="bg-BG" w:eastAsia="bg-BG"/>
        </w:rPr>
        <w:t>, проектът на КР ще бъде достъпен на интернет страницата на ИАОС и на Община Добрич.</w:t>
      </w:r>
    </w:p>
    <w:p w:rsidR="00706E3A" w:rsidRP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overflowPunct/>
        <w:autoSpaceDE/>
        <w:adjustRightInd/>
        <w:ind w:left="142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06E3A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706E3A" w:rsidRP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overflowPunct/>
        <w:autoSpaceDE/>
        <w:adjustRightInd/>
        <w:ind w:left="142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06E3A">
        <w:rPr>
          <w:rFonts w:ascii="Times New Roman" w:hAnsi="Times New Roman"/>
          <w:sz w:val="24"/>
          <w:szCs w:val="24"/>
          <w:lang w:eastAsia="bg-BG"/>
        </w:rPr>
        <w:t xml:space="preserve">Становища в горепосочения срок могат да се подават </w:t>
      </w:r>
      <w:r w:rsidRPr="00706E3A">
        <w:rPr>
          <w:rFonts w:ascii="Times New Roman" w:hAnsi="Times New Roman"/>
          <w:sz w:val="24"/>
          <w:szCs w:val="24"/>
          <w:lang w:val="bg-BG" w:eastAsia="bg-BG"/>
        </w:rPr>
        <w:t>до изпълнителния директор на ИАОС и/или кмета на Община Добрич, по официален ред, заведени в съответното деловодство.</w:t>
      </w:r>
    </w:p>
    <w:p w:rsidR="00706E3A" w:rsidRP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overflowPunct/>
        <w:autoSpaceDE/>
        <w:adjustRightInd/>
        <w:ind w:left="142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706E3A">
        <w:rPr>
          <w:rFonts w:ascii="Times New Roman" w:hAnsi="Times New Roman"/>
          <w:bCs/>
          <w:sz w:val="24"/>
          <w:szCs w:val="24"/>
          <w:lang w:val="bg-BG" w:eastAsia="bg-BG"/>
        </w:rPr>
        <w:t>За допълнителна информация:</w:t>
      </w:r>
    </w:p>
    <w:p w:rsidR="00706E3A" w:rsidRP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overflowPunct/>
        <w:autoSpaceDE/>
        <w:adjustRightInd/>
        <w:ind w:left="142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706E3A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706E3A" w:rsidRPr="00706E3A" w:rsidRDefault="00706E3A" w:rsidP="00706E3A">
      <w:pPr>
        <w:pBdr>
          <w:top w:val="single" w:sz="4" w:space="1" w:color="auto"/>
          <w:left w:val="single" w:sz="4" w:space="28" w:color="auto"/>
          <w:bottom w:val="single" w:sz="4" w:space="3" w:color="auto"/>
          <w:right w:val="single" w:sz="4" w:space="9" w:color="auto"/>
        </w:pBdr>
        <w:tabs>
          <w:tab w:val="center" w:pos="4320"/>
          <w:tab w:val="right" w:pos="8640"/>
        </w:tabs>
        <w:overflowPunct/>
        <w:autoSpaceDE/>
        <w:adjustRightInd/>
        <w:ind w:left="142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706E3A">
        <w:rPr>
          <w:rFonts w:ascii="Times New Roman" w:hAnsi="Times New Roman"/>
          <w:bCs/>
          <w:sz w:val="24"/>
          <w:szCs w:val="24"/>
          <w:lang w:val="bg-BG" w:eastAsia="bg-BG"/>
        </w:rPr>
        <w:t>Светла Андонова – главен еколог, Община Добрич, тел.: 0899 98 46 94.</w:t>
      </w: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154DFD"/>
    <w:rsid w:val="00253F2E"/>
    <w:rsid w:val="003E0C57"/>
    <w:rsid w:val="00497B96"/>
    <w:rsid w:val="00540390"/>
    <w:rsid w:val="00706E3A"/>
    <w:rsid w:val="00827060"/>
    <w:rsid w:val="00A0413B"/>
    <w:rsid w:val="00AC66D6"/>
    <w:rsid w:val="00B030B3"/>
    <w:rsid w:val="00C3344D"/>
    <w:rsid w:val="00C72109"/>
    <w:rsid w:val="00C9615B"/>
    <w:rsid w:val="00D7257C"/>
    <w:rsid w:val="00EC203E"/>
    <w:rsid w:val="00F82696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2023-01-11T11:45:00Z</dcterms:created>
  <dcterms:modified xsi:type="dcterms:W3CDTF">2023-01-11T11:45:00Z</dcterms:modified>
</cp:coreProperties>
</file>