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A0" w:rsidRPr="004117A0" w:rsidRDefault="004117A0" w:rsidP="004117A0">
      <w:pPr>
        <w:keepNext/>
        <w:pageBreakBefore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  <w:bookmarkStart w:id="0" w:name="_GoBack"/>
      <w:bookmarkEnd w:id="0"/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  <w:t>“БЕРГ МОНТАНА ФИТИНГИ” ЕАД  - ГРАД  МОНТАНА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Годишен доклад по околна среда (ГДОС)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из</w:t>
      </w:r>
      <w:r w:rsidR="0039038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пълнение на дейностите през 20</w:t>
      </w:r>
      <w:r w:rsidR="004875C4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20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год., за които е предоставено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Комплексно разрешително  № 125/2006 г.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,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актуализирано с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Решение № 125-Н0-И1-А1/2016г.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39038C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Монтана, март  202</w:t>
      </w:r>
      <w:r w:rsidR="004875C4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>Съдържание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Увод</w:t>
      </w:r>
    </w:p>
    <w:p w:rsidR="004117A0" w:rsidRPr="004117A0" w:rsidRDefault="004117A0" w:rsidP="004117A0">
      <w:pPr>
        <w:widowControl w:val="0"/>
        <w:numPr>
          <w:ilvl w:val="1"/>
          <w:numId w:val="4"/>
        </w:numPr>
        <w:tabs>
          <w:tab w:val="left" w:pos="90"/>
        </w:tabs>
        <w:suppressAutoHyphens/>
        <w:spacing w:after="0" w:line="240" w:lineRule="auto"/>
        <w:ind w:left="3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Наименование на инсталациите, за които е издадено комплексното        разрешително……………………………………………………………..........5                                                                                                                    </w:t>
      </w:r>
    </w:p>
    <w:p w:rsidR="004117A0" w:rsidRPr="004117A0" w:rsidRDefault="004117A0" w:rsidP="004117A0">
      <w:pPr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Инсталация, която попада в обхвата на т. 2.4. от Приложение № 4 на ЗООС……………………………………………………………………............5</w:t>
      </w:r>
    </w:p>
    <w:p w:rsidR="004117A0" w:rsidRPr="004117A0" w:rsidRDefault="004117A0" w:rsidP="004117A0">
      <w:pPr>
        <w:widowControl w:val="0"/>
        <w:numPr>
          <w:ilvl w:val="2"/>
          <w:numId w:val="4"/>
        </w:numPr>
        <w:tabs>
          <w:tab w:val="left" w:pos="45"/>
        </w:tabs>
        <w:suppressAutoHyphens/>
        <w:spacing w:after="0" w:line="240" w:lineRule="auto"/>
        <w:ind w:left="1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Инсталации, които не попадат в обхвата на Приложение № 4 на ЗООС……………………………………………………………………..........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1.2. Адрес по местонахождение на инсталациите……………………… ..  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1.3. Регистрационен номер на КР…………………………………………….5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1.4. Дата на подписване на КР………………………………………………..5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1.5. Дата на влизане в сила КР……………………………………………….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1.6. Оператор на инсталациите…………………………………………….   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1.7. Адрес, телефон, факс, е – mail на собственика……………………….  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1.8. Лице за контакти………………………………………………………….5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1.9. Адрес, телефон, факс, е – mail на лицето за контакти………………… 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 Кратко описание на всяка от дейностите/процесите, извършвани в инсталациите………………………………………………………………….. 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1.10.1. Инсталация Леярна за черни метали, попадаща в обхвата на Приложение № 4 на ЗООС………………………………………………...…………………6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 Инсталации, които не попадат в обхвата на Приложение № 4 на ЗООС………………………………………………………………………...…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1.10.2.1. Инсталация за повърхностна обработка на метали ………...…….7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1.10.2.2. Инсталация за горещо поцинковане на чугун …………………… 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1.10.2.3. Инсталация за механична обработка ………………………………7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1.10.2.4. Спомагателни дейности – отоплителна централа ……………….. 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1.11. Производствен капацитет на Инсталация за черни метали ……........ 7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1.12. Организационна структура на фирмата, отнасяща се до управлението на околната среда ……………………………………………………….....……..7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.13. РИОСВ, на чиято територия е разположена инсталацията …………..8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1.14. Басейнова дирекция, на чиято територия е разположена инсталацията………………………………………………………………….  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Система за управление на околната среда .....................8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lastRenderedPageBreak/>
        <w:t>Използване на ресурси …………………………………...........9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3.1. Използване на вода ……………………………………………………  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3.2. Използване на енергия ……………………………………….....………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0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3.3. Използване на суровини, спомагателни материали и горива ……… . 11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3.4.Съхранение на суровини, спомагателни материали, горива и продукти………………………………………………………………………12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 xml:space="preserve">   4.  Емисии на вредни и опасни вещества в околната среда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…………..……………………………………………………............ 12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4.1. Доклад по Европейския регистър на емисиите на вредни вещества .. 12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 Емисии на вредни вещества в атмосферния въздух …………………. 13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4.2.1. Работа на пречиствателното оборудване …………………………...  13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4.2.2. Емисии от точкови източници ………………………………………..14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4.2.3. Неорганизирани емисии ……………................................................. 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4.2.4. Интензивно миришещи вещества ……………………………………17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 Емисии на вредни и опасни вещества в отпадъчните води ………… 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4.3.1. Производствени отпадъчни води ……………………………………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4.3.1.1. Работа на пречиствателните </w:t>
      </w:r>
      <w:r w:rsidR="00B64604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съоръжения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………………………… 17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4.3.1.2. Емисионни норми ………………………………………………….. 18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4.3.2. Охлаждащи води ……………………………………………………..  21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4.3.2.1. Емисионни норми ………………………………………………….. 21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4.3.3. Битово - фекални отпадъчни води ………………………………….. 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4.3.3.1. Емисионни норми …………………………………………………. 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4.3.4. Дъждовни води ..................................................................................22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4.3.4.1. Емисионни норми ………………………………………………….. 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ab/>
        <w:t>5.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Управление на отпадъците ……………..………………..22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5.1. Образуване на отпадъци ………………………………………………..22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5.2. Събиране и приемане на отпадъците ……………………………….    24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5.3. Временно съхраняване на отпадъците ……………………………….. 24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5.4. Транспортиране на отпадъците ………………………………………  .25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5.5. Оползотворяване, преработване и рециклиране на отпадъци ………..26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5.6. Обезвреждане на отпадъците …………………………………………  26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5.7. Контрол и измерване на отпадъците ………………………………… . 27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5.8. Документиране и докладване ………………………………………     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ab/>
        <w:t>6.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Шум ………………………………..……………………………. ..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7. Опазване на почвата и подземните води …...……..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7.1. Собствен мониторинг на подземни води ……………………………   28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7.2. Собствен мониторинг на почви ………………………………………..29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7.3. Документиране и докладване …………………………………………..29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Предотвратяване и действия при аварии …...……... 30</w:t>
      </w:r>
    </w:p>
    <w:p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Преходни и анормални режими на работа …...….....30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08"/>
        <w:rPr>
          <w:rFonts w:ascii="Times New Roman" w:eastAsia="SimSun" w:hAnsi="Times New Roman" w:cs="Mangal"/>
          <w:caps/>
          <w:kern w:val="2"/>
          <w:sz w:val="28"/>
          <w:szCs w:val="21"/>
          <w:lang w:eastAsia="hi-IN" w:bidi="hi-IN"/>
        </w:rPr>
      </w:pPr>
    </w:p>
    <w:p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Прекратяване на работата на инсталациите или на части от тях …………………………………………..…..........……….30</w:t>
      </w:r>
    </w:p>
    <w:p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11.   ДЕКЛАРАЦИЯ…………..…………………………………...… 31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Pr="004117A0" w:rsidRDefault="0039038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lastRenderedPageBreak/>
        <w:t>Увод</w:t>
      </w:r>
    </w:p>
    <w:p w:rsidR="004117A0" w:rsidRPr="004117A0" w:rsidRDefault="004117A0" w:rsidP="004117A0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Наименование на инсталациите, за които е издадено комплексното разрешително</w:t>
      </w:r>
    </w:p>
    <w:p w:rsidR="004117A0" w:rsidRPr="004117A0" w:rsidRDefault="004117A0" w:rsidP="004117A0">
      <w:pPr>
        <w:widowControl w:val="0"/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Инсталация, която попада в обхвата на т. 2.4. от Приложение № 4 на ЗООС: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леярна за черни метали</w:t>
      </w:r>
    </w:p>
    <w:p w:rsidR="004117A0" w:rsidRPr="004117A0" w:rsidRDefault="004117A0" w:rsidP="004117A0">
      <w:pPr>
        <w:widowControl w:val="0"/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Инсталации, които не попадат в обхвата на Приложение № 4 на ЗООС: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positio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повърхностна обработка на метали – с общ обем на ваните 16 m</w:t>
      </w:r>
      <w:r w:rsidRPr="004117A0">
        <w:rPr>
          <w:rFonts w:ascii="Times New Roman" w:eastAsia="SimSun" w:hAnsi="Times New Roman" w:cs="Mangal"/>
          <w:kern w:val="2"/>
          <w:position w:val="2"/>
          <w:sz w:val="28"/>
          <w:szCs w:val="28"/>
          <w:lang w:eastAsia="hi-IN" w:bidi="hi-IN"/>
        </w:rPr>
        <w:t>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горещо поцинковане на чугун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механична обработка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– спомагателни дейности</w:t>
      </w:r>
    </w:p>
    <w:p w:rsidR="004117A0" w:rsidRPr="004117A0" w:rsidRDefault="004117A0" w:rsidP="004117A0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Адрес по местонахождение на инсталациите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Инсталациите са разположени на площадката на “Берг Монтана Фитинги” ЕАД, 3400, гр. Монтана, Индустриална зона.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  1.3.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Регистрационен номер на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КР -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125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/2006г.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,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актуализирано с Решение № 125-Н0-И1-А1/2016г.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1.4.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Дата на подписване на КР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14.11.2006 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1.5.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Дата на влизане в сила на КР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02.12.2006 г.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,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актуализирано с Решение № 125-Н0-И1-А1/2016г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1.6.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Оператор на инсталациите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“Берг Монтана Фитинги” ЕАД гр. Монтана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1.7.    Адрес, тел.номер, факс, e-mail на собственика/оператора 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3400, гр. Монтана, Индустриална зона, тел. 096 399290, факс. 096 399200, e-mail: office@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bm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fittings.com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1.8.    Лице за контакти –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</w:t>
      </w:r>
      <w:r w:rsidR="004875C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Цветомир Първанов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1.9     Адрес, тел.номер, факс, e-mail на лицето за контакти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3400, гр. Монтана, Индустриална зона, тел. 0877 560 864, факс. 096 399200,     e-mail: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eco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@</w:t>
      </w:r>
      <w:r w:rsidR="00B64604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bm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fittings.com</w:t>
      </w:r>
    </w:p>
    <w:p w:rsidR="004117A0" w:rsidRPr="004117A0" w:rsidRDefault="004117A0" w:rsidP="004117A0">
      <w:pPr>
        <w:widowControl w:val="0"/>
        <w:numPr>
          <w:ilvl w:val="1"/>
          <w:numId w:val="10"/>
        </w:numPr>
        <w:suppressAutoHyphens/>
        <w:spacing w:after="0" w:line="240" w:lineRule="auto"/>
        <w:ind w:left="142" w:firstLine="425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Кратко описание на всяка от дейностите/процесите, извършвани в инсталациите.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1.10.1. Инсталация Леярна за черни метали, попадаща в обхвата на    Приложение №4 на ЗООС, включва следните процеси: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изготвяне на формовъчна смес – изготвя се в комплексна смесителна инсталация с центробежни смесители тип “Спиирмулор-80 А”. Използват се следните материали: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- отработена формовъчна смес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кварцов пясък – изсушен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бентонит – активиран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навъглеродител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вода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lastRenderedPageBreak/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сушене на кварцов пясък – сушенето се извършва във флуидизационна сушилна СН-25.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получаване на течен метал – течния метал се получава в тиглови индукционни пещи тип IT –7. Използвани материали: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метална шихта – леярски чугун, стоманени отпадъци и възврат от       собствено производство.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феросплави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навъглеродител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шлакообразуващ материал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пирит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формене и леене – форменето се извършва на автоматична формовъчна линия тип DISA –2013 Mk. Охлаждането и отделянето на отливката от формовъчната смес става в охладителни барабани тип SLUIS – КТ.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изготвяне на леярски сърца – леярски сърца се изработват на автоматични сърцарски машини по метода “гореща кутия”. Използвани материали: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кварцов пясък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фенолна смола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втвърдител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фортофоб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дробометно почистване – отливката се почиства в проходна дробометна машина тип  ДТ  14-380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шмиргелене – шмиргеленето се извършва на двудискови шлифовъчни апарати и полуавтоматични шлифовъчни машини.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термообработка – термичната обработка на отливката се извършва в темперпещи тип Sto Twe  2-500.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дробометно и ротационно почистване – след термичната обработка отливката се почиства в проходни дробоструйни чистачни машини тип OWBP 2,5.</w:t>
      </w:r>
    </w:p>
    <w:p w:rsidR="004117A0" w:rsidRPr="004117A0" w:rsidRDefault="004117A0" w:rsidP="004117A0">
      <w:pPr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Инсталации,  които  не  попадат  в  обхвата  на Приложение  №4   на ЗООС: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positio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1.10.2.1. Инсталация за повърхностна обработка на метали – общ обем   на ваните е 16 m</w:t>
      </w:r>
      <w:r w:rsidRPr="004117A0">
        <w:rPr>
          <w:rFonts w:ascii="Times New Roman" w:eastAsia="SimSun" w:hAnsi="Times New Roman" w:cs="Mangal"/>
          <w:b/>
          <w:kern w:val="2"/>
          <w:position w:val="2"/>
          <w:sz w:val="28"/>
          <w:szCs w:val="28"/>
          <w:lang w:eastAsia="hi-IN" w:bidi="hi-IN"/>
        </w:rPr>
        <w:t>3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байцване и неутрализация – след термична обработка и почистване в дробоструйни чистачни машини, отливката се байцва чрез потапяне във вана с воден разтвор на солна и флуороводородна киселини. Отпадните води от промивните вани се неутрализират с хидратна вар в пречиствателна станция.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флюсиране – отливката се потапя във флюсов разтвор от цинков двухлорид, амониев хлорид и вода.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обезмасляване и консервация – след механична обработка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>фитингите се почистват с воден разтвор на обезмаслител. Консервацията се извършва чрез потапяне на фитингите във вана с воден разтвор на консервационна течност.</w:t>
      </w:r>
    </w:p>
    <w:p w:rsidR="004117A0" w:rsidRPr="004117A0" w:rsidRDefault="004117A0" w:rsidP="004117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1.10.2.2.Инсталация за горещо поцинковане на чугун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Почистената и флюсована отливка се поцинкова чрез потапяне във    вана с цинкова стопилка.</w:t>
      </w:r>
    </w:p>
    <w:p w:rsidR="004117A0" w:rsidRPr="004117A0" w:rsidRDefault="004117A0" w:rsidP="004117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1.10.2.3. Инсталация за механична обработка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нарязване на резба – механичната обработка се извършва на      специализирани винтонарезни машини.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заточване на режещите инструменти – заточването на режещите инструменти се извършва на специализирани заточни машини.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изпитване – след механична обработка, фитингите се изпитват на плътност на специализирани изпитни машини.</w:t>
      </w:r>
    </w:p>
    <w:p w:rsidR="004117A0" w:rsidRPr="004117A0" w:rsidRDefault="004117A0" w:rsidP="004117A0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Производствен капацитет на инсталация Леярна за черни метали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условие №4 на Комплексното разрешително е определен максимален капацитет  41,01 т/24 ч и 12 000 т/г. Произведената продукция през отчетния период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е </w:t>
      </w:r>
      <w:r w:rsidR="004875C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8917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,</w:t>
      </w:r>
      <w:r w:rsidR="004875C4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57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т. и</w:t>
      </w:r>
      <w:r w:rsidR="002C678F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 40</w:t>
      </w:r>
      <w:r w:rsidR="002C678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,53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т/24 ч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.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Изготвена е и се прилага инструкция за изчисляване на годишната продукция на инсталацията по Условие 2 /усл.4.1.1./.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1.12.Организационна структура на фирмата, отнасяща се до управлението на околната среда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F42D" wp14:editId="15692B2E">
                <wp:simplePos x="0" y="0"/>
                <wp:positionH relativeFrom="column">
                  <wp:posOffset>2834640</wp:posOffset>
                </wp:positionH>
                <wp:positionV relativeFrom="paragraph">
                  <wp:posOffset>325755</wp:posOffset>
                </wp:positionV>
                <wp:extent cx="6350" cy="274320"/>
                <wp:effectExtent l="76200" t="0" r="69850" b="49530"/>
                <wp:wrapNone/>
                <wp:docPr id="40" name="Съединител &quot;права стрелка&quot;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743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4D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9" o:spid="_x0000_s1026" type="#_x0000_t32" style="position:absolute;margin-left:223.2pt;margin-top:25.65pt;width: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" strokeweight=".26mm">
                <v:stroke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A4C76" wp14:editId="66445961">
                <wp:simplePos x="0" y="0"/>
                <wp:positionH relativeFrom="column">
                  <wp:posOffset>1739265</wp:posOffset>
                </wp:positionH>
                <wp:positionV relativeFrom="paragraph">
                  <wp:posOffset>1840230</wp:posOffset>
                </wp:positionV>
                <wp:extent cx="274320" cy="742950"/>
                <wp:effectExtent l="38100" t="38100" r="49530" b="57150"/>
                <wp:wrapNone/>
                <wp:docPr id="39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539E" id="Съединител &quot;права стрелка&quot; 6" o:spid="_x0000_s1026" type="#_x0000_t32" style="position:absolute;margin-left:136.95pt;margin-top:144.9pt;width:21.6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5CAA8" wp14:editId="2FDC88DE">
                <wp:simplePos x="0" y="0"/>
                <wp:positionH relativeFrom="column">
                  <wp:posOffset>3568065</wp:posOffset>
                </wp:positionH>
                <wp:positionV relativeFrom="paragraph">
                  <wp:posOffset>1859280</wp:posOffset>
                </wp:positionV>
                <wp:extent cx="379095" cy="742950"/>
                <wp:effectExtent l="38100" t="38100" r="59055" b="57150"/>
                <wp:wrapNone/>
                <wp:docPr id="38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23FB" id="Съединител &quot;права стрелка&quot; 4" o:spid="_x0000_s1026" type="#_x0000_t32" style="position:absolute;margin-left:280.95pt;margin-top:146.4pt;width:29.8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B6D76" wp14:editId="2C232647">
                <wp:simplePos x="0" y="0"/>
                <wp:positionH relativeFrom="column">
                  <wp:posOffset>4253865</wp:posOffset>
                </wp:positionH>
                <wp:positionV relativeFrom="paragraph">
                  <wp:posOffset>1859280</wp:posOffset>
                </wp:positionV>
                <wp:extent cx="549275" cy="742950"/>
                <wp:effectExtent l="38100" t="38100" r="60325" b="57150"/>
                <wp:wrapNone/>
                <wp:docPr id="37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2AFD" id="Съединител &quot;права стрелка&quot; 3" o:spid="_x0000_s1026" type="#_x0000_t32" style="position:absolute;margin-left:334.95pt;margin-top:146.4pt;width:43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04689" wp14:editId="631EE051">
                <wp:simplePos x="0" y="0"/>
                <wp:positionH relativeFrom="column">
                  <wp:posOffset>2865755</wp:posOffset>
                </wp:positionH>
                <wp:positionV relativeFrom="paragraph">
                  <wp:posOffset>1868805</wp:posOffset>
                </wp:positionV>
                <wp:extent cx="6350" cy="742950"/>
                <wp:effectExtent l="76200" t="38100" r="69850" b="57150"/>
                <wp:wrapNone/>
                <wp:docPr id="36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DA11" id="Съединител &quot;права стрелка&quot; 5" o:spid="_x0000_s1026" type="#_x0000_t32" style="position:absolute;margin-left:225.65pt;margin-top:147.15pt;width: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6881" wp14:editId="6905F7F9">
                <wp:simplePos x="0" y="0"/>
                <wp:positionH relativeFrom="column">
                  <wp:posOffset>908685</wp:posOffset>
                </wp:positionH>
                <wp:positionV relativeFrom="paragraph">
                  <wp:posOffset>1840865</wp:posOffset>
                </wp:positionV>
                <wp:extent cx="379095" cy="742950"/>
                <wp:effectExtent l="38100" t="38100" r="59055" b="57150"/>
                <wp:wrapNone/>
                <wp:docPr id="35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095" cy="742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E5EB" id="Съединител &quot;права стрелка&quot; 7" o:spid="_x0000_s1026" type="#_x0000_t32" style="position:absolute;margin-left:71.55pt;margin-top:144.95pt;width:29.85pt;height:5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" strokeweight=".26mm">
                <v:stroke startarrow="block" endarrow="block" joinstyle="miter"/>
              </v:shape>
            </w:pict>
          </mc:Fallback>
        </mc:AlternateContent>
      </w: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0706DE" wp14:editId="199F2C59">
                <wp:simplePos x="0" y="0"/>
                <wp:positionH relativeFrom="column">
                  <wp:posOffset>2010410</wp:posOffset>
                </wp:positionH>
                <wp:positionV relativeFrom="paragraph">
                  <wp:posOffset>73660</wp:posOffset>
                </wp:positionV>
                <wp:extent cx="1725295" cy="262255"/>
                <wp:effectExtent l="0" t="0" r="27305" b="23495"/>
                <wp:wrapNone/>
                <wp:docPr id="34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6D" w:rsidRDefault="008D2C6D" w:rsidP="004117A0">
                            <w:pPr>
                              <w:pStyle w:val="Heading3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Изп. Директор</w:t>
                            </w:r>
                          </w:p>
                          <w:p w:rsidR="008D2C6D" w:rsidRDefault="008D2C6D" w:rsidP="004117A0"/>
                          <w:p w:rsidR="008D2C6D" w:rsidRDefault="008D2C6D" w:rsidP="004117A0"/>
                          <w:p w:rsidR="008D2C6D" w:rsidRDefault="008D2C6D" w:rsidP="004117A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06D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0" o:spid="_x0000_s1026" type="#_x0000_t202" style="position:absolute;left:0;text-align:left;margin-left:158.3pt;margin-top:5.8pt;width:135.85pt;height:20.6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" strokeweight=".5pt">
                <v:textbox inset="7.45pt,3.85pt,7.45pt,3.85pt">
                  <w:txbxContent>
                    <w:p w:rsidR="008D2C6D" w:rsidRDefault="008D2C6D" w:rsidP="004117A0">
                      <w:pPr>
                        <w:pStyle w:val="Heading3"/>
                        <w:numPr>
                          <w:ilvl w:val="2"/>
                          <w:numId w:val="2"/>
                        </w:numPr>
                      </w:pPr>
                      <w:r>
                        <w:t>Изп. Директор</w:t>
                      </w:r>
                    </w:p>
                    <w:p w:rsidR="008D2C6D" w:rsidRDefault="008D2C6D" w:rsidP="004117A0"/>
                    <w:p w:rsidR="008D2C6D" w:rsidRDefault="008D2C6D" w:rsidP="004117A0"/>
                    <w:p w:rsidR="008D2C6D" w:rsidRDefault="008D2C6D" w:rsidP="004117A0"/>
                  </w:txbxContent>
                </v:textbox>
              </v:shape>
            </w:pict>
          </mc:Fallback>
        </mc:AlternateConten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E65A1C" wp14:editId="341BB342">
                <wp:simplePos x="0" y="0"/>
                <wp:positionH relativeFrom="column">
                  <wp:posOffset>364490</wp:posOffset>
                </wp:positionH>
                <wp:positionV relativeFrom="paragraph">
                  <wp:posOffset>36830</wp:posOffset>
                </wp:positionV>
                <wp:extent cx="5200015" cy="1725295"/>
                <wp:effectExtent l="0" t="0" r="19685" b="27305"/>
                <wp:wrapNone/>
                <wp:docPr id="33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6D" w:rsidRDefault="008D2C6D" w:rsidP="004117A0">
                            <w:pPr>
                              <w:pStyle w:val="Heading5"/>
                              <w:numPr>
                                <w:ilvl w:val="4"/>
                                <w:numId w:val="2"/>
                              </w:numPr>
                              <w:ind w:left="15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Обучение, обмен на информация, документиране, управление на документите, проверка и коригиращи действия, предотвратяване и контрол на аварийни ситуации, записи, докладване, актуализация , уведомяване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-21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5"/>
                              <w:gridCol w:w="2640"/>
                              <w:gridCol w:w="2801"/>
                            </w:tblGrid>
                            <w:tr w:rsidR="008D2C6D"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D2C6D" w:rsidRDefault="008D2C6D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Дир. Производство</w:t>
                                  </w:r>
                                </w:p>
                                <w:p w:rsidR="008D2C6D" w:rsidRDefault="008D2C6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D2C6D" w:rsidRDefault="008D2C6D" w:rsidP="008662E7">
                                  <w:pPr>
                                    <w:pStyle w:val="Heading5"/>
                                    <w:numPr>
                                      <w:ilvl w:val="4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Дир. ЧР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D2C6D" w:rsidRDefault="008D2C6D" w:rsidP="008662E7">
                                  <w:pPr>
                                    <w:pStyle w:val="Heading6"/>
                                    <w:numPr>
                                      <w:ilvl w:val="5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</w:pPr>
                                  <w:r>
                                    <w:t>Дир. Закупуване</w:t>
                                  </w:r>
                                </w:p>
                              </w:tc>
                            </w:tr>
                            <w:tr w:rsidR="008D2C6D">
                              <w:tc>
                                <w:tcPr>
                                  <w:tcW w:w="82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8D2C6D" w:rsidRDefault="008D2C6D" w:rsidP="008662E7">
                                  <w:pPr>
                                    <w:pStyle w:val="Heading5"/>
                                    <w:numPr>
                                      <w:ilvl w:val="4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експерт. ЗБУР и Е</w:t>
                                  </w:r>
                                </w:p>
                              </w:tc>
                            </w:tr>
                          </w:tbl>
                          <w:p w:rsidR="008D2C6D" w:rsidRDefault="008D2C6D" w:rsidP="004117A0">
                            <w:pPr>
                              <w:pStyle w:val="Standard"/>
                              <w:ind w:left="15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5A1C" id="Текстово поле 8" o:spid="_x0000_s1027" type="#_x0000_t202" style="position:absolute;left:0;text-align:left;margin-left:28.7pt;margin-top:2.9pt;width:409.45pt;height:135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" strokeweight=".5pt">
                <v:textbox inset="7.45pt,3.85pt,7.45pt,3.85pt">
                  <w:txbxContent>
                    <w:p w:rsidR="008D2C6D" w:rsidRDefault="008D2C6D" w:rsidP="004117A0">
                      <w:pPr>
                        <w:pStyle w:val="Heading5"/>
                        <w:numPr>
                          <w:ilvl w:val="4"/>
                          <w:numId w:val="2"/>
                        </w:numPr>
                        <w:ind w:left="15" w:firstLine="0"/>
                        <w:jc w:val="left"/>
                        <w:rPr>
                          <w:color w:val="000000"/>
                        </w:rPr>
                      </w:pPr>
                      <w:r>
                        <w:t xml:space="preserve">  </w:t>
                      </w:r>
                      <w:r>
                        <w:rPr>
                          <w:color w:val="000000"/>
                        </w:rPr>
                        <w:t>Обучение, обмен на информация, документиране, управление на документите, проверка и коригиращи действия, предотвратяване и контрол на аварийни ситуации, записи, докладване, актуализация , уведомяване</w:t>
                      </w:r>
                    </w:p>
                    <w:p w:rsidR="008D2C6D" w:rsidRDefault="008D2C6D" w:rsidP="004117A0">
                      <w:pPr>
                        <w:pStyle w:val="Standard"/>
                        <w:jc w:val="both"/>
                      </w:pPr>
                    </w:p>
                    <w:tbl>
                      <w:tblPr>
                        <w:tblW w:w="0" w:type="auto"/>
                        <w:tblInd w:w="-21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5"/>
                        <w:gridCol w:w="2640"/>
                        <w:gridCol w:w="2801"/>
                      </w:tblGrid>
                      <w:tr w:rsidR="008D2C6D">
                        <w:tc>
                          <w:tcPr>
                            <w:tcW w:w="2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D2C6D" w:rsidRDefault="008D2C6D">
                            <w:pPr>
                              <w:pStyle w:val="Standard"/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Дир. Производство</w:t>
                            </w:r>
                          </w:p>
                          <w:p w:rsidR="008D2C6D" w:rsidRDefault="008D2C6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D2C6D" w:rsidRDefault="008D2C6D" w:rsidP="008662E7">
                            <w:pPr>
                              <w:pStyle w:val="Heading5"/>
                              <w:numPr>
                                <w:ilvl w:val="4"/>
                                <w:numId w:val="2"/>
                              </w:numPr>
                              <w:snapToGrid w:val="0"/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Дир. ЧР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D2C6D" w:rsidRDefault="008D2C6D" w:rsidP="008662E7">
                            <w:pPr>
                              <w:pStyle w:val="Heading6"/>
                              <w:numPr>
                                <w:ilvl w:val="5"/>
                                <w:numId w:val="2"/>
                              </w:numPr>
                              <w:snapToGrid w:val="0"/>
                              <w:spacing w:line="276" w:lineRule="auto"/>
                            </w:pPr>
                            <w:r>
                              <w:t>Дир. Закупуване</w:t>
                            </w:r>
                          </w:p>
                        </w:tc>
                      </w:tr>
                      <w:tr w:rsidR="008D2C6D">
                        <w:tc>
                          <w:tcPr>
                            <w:tcW w:w="82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8D2C6D" w:rsidRDefault="008D2C6D" w:rsidP="008662E7">
                            <w:pPr>
                              <w:pStyle w:val="Heading5"/>
                              <w:numPr>
                                <w:ilvl w:val="4"/>
                                <w:numId w:val="2"/>
                              </w:numPr>
                              <w:snapToGrid w:val="0"/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експерт. ЗБУР и Е</w:t>
                            </w:r>
                          </w:p>
                        </w:tc>
                      </w:tr>
                    </w:tbl>
                    <w:p w:rsidR="008D2C6D" w:rsidRDefault="008D2C6D" w:rsidP="004117A0">
                      <w:pPr>
                        <w:pStyle w:val="Standard"/>
                        <w:ind w:left="15"/>
                      </w:pPr>
                    </w:p>
                  </w:txbxContent>
                </v:textbox>
              </v:shape>
            </w:pict>
          </mc:Fallback>
        </mc:AlternateConten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39038C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 wp14:anchorId="630B2C10" wp14:editId="3EA6607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066790" cy="2194560"/>
                <wp:effectExtent l="0" t="0" r="10160" b="15240"/>
                <wp:wrapNone/>
                <wp:docPr id="3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2194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tbl>
                            <w:tblPr>
                              <w:tblW w:w="0" w:type="auto"/>
                              <w:tblInd w:w="-7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5"/>
                              <w:gridCol w:w="1786"/>
                              <w:gridCol w:w="3571"/>
                              <w:gridCol w:w="1946"/>
                            </w:tblGrid>
                            <w:tr w:rsidR="008D2C6D"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D2C6D" w:rsidRDefault="008D2C6D" w:rsidP="008662E7">
                                  <w:pPr>
                                    <w:pStyle w:val="Heading4"/>
                                    <w:numPr>
                                      <w:ilvl w:val="3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Н-е Качество и</w:t>
                                  </w:r>
                                </w:p>
                                <w:p w:rsidR="008D2C6D" w:rsidRDefault="008D2C6D">
                                  <w:pPr>
                                    <w:pStyle w:val="Standard"/>
                                    <w:spacing w:line="276" w:lineRule="auto"/>
                                    <w:jc w:val="center"/>
                                  </w:pPr>
                                  <w:r>
                                    <w:t>иновации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D2C6D" w:rsidRDefault="008D2C6D" w:rsidP="008662E7">
                                  <w:pPr>
                                    <w:pStyle w:val="Heading4"/>
                                    <w:numPr>
                                      <w:ilvl w:val="3"/>
                                      <w:numId w:val="2"/>
                                    </w:numPr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Н-к Цехове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D2C6D" w:rsidRDefault="008D2C6D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Главен инженер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D2C6D" w:rsidRDefault="008D2C6D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jc w:val="center"/>
                                  </w:pPr>
                                  <w:r>
                                    <w:t>Н-к Снабдяване</w:t>
                                  </w:r>
                                </w:p>
                              </w:tc>
                            </w:tr>
                          </w:tbl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  <w:r>
                              <w:t>Използване на ресурси                                   Управление на отпадъци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  <w:r>
                              <w:t>-вода                                                                 Шум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  <w:r>
                              <w:t>-енергия                                                           Опазване на почвата и подземните води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  <w:r>
                              <w:t xml:space="preserve">-суровини, спомагателни материали,           Предотвратяване и действия при аварии                         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  <w:r>
                              <w:t>горива                                                              Преходни и анормални режими на работа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  <w:r>
                              <w:t>Емисии в атмосферата                                   Прекратяване на работата на инсталациите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  <w:r>
                              <w:t>Емисии на отпадъчни води</w:t>
                            </w: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  <w:p w:rsidR="008D2C6D" w:rsidRDefault="008D2C6D" w:rsidP="004117A0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2C10" id="Текстово поле 2" o:spid="_x0000_s1028" type="#_x0000_t202" style="position:absolute;left:0;text-align:left;margin-left:-17.6pt;margin-top:14.55pt;width:477.7pt;height:172.8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" strokeweight=".5pt">
                <v:fill opacity="0"/>
                <v:textbox inset="7.45pt,3.85pt,7.45pt,3.85pt">
                  <w:txbxContent>
                    <w:p w:rsidR="008D2C6D" w:rsidRDefault="008D2C6D" w:rsidP="004117A0">
                      <w:pPr>
                        <w:pStyle w:val="Standard"/>
                      </w:pPr>
                    </w:p>
                    <w:tbl>
                      <w:tblPr>
                        <w:tblW w:w="0" w:type="auto"/>
                        <w:tblInd w:w="-7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5"/>
                        <w:gridCol w:w="1786"/>
                        <w:gridCol w:w="3571"/>
                        <w:gridCol w:w="1946"/>
                      </w:tblGrid>
                      <w:tr w:rsidR="008D2C6D"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D2C6D" w:rsidRDefault="008D2C6D" w:rsidP="008662E7">
                            <w:pPr>
                              <w:pStyle w:val="Heading4"/>
                              <w:numPr>
                                <w:ilvl w:val="3"/>
                                <w:numId w:val="2"/>
                              </w:numPr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Н-е Качество и</w:t>
                            </w:r>
                          </w:p>
                          <w:p w:rsidR="008D2C6D" w:rsidRDefault="008D2C6D">
                            <w:pPr>
                              <w:pStyle w:val="Standard"/>
                              <w:spacing w:line="276" w:lineRule="auto"/>
                              <w:jc w:val="center"/>
                            </w:pPr>
                            <w:r>
                              <w:t>иновации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D2C6D" w:rsidRDefault="008D2C6D" w:rsidP="008662E7">
                            <w:pPr>
                              <w:pStyle w:val="Heading4"/>
                              <w:numPr>
                                <w:ilvl w:val="3"/>
                                <w:numId w:val="2"/>
                              </w:numPr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Н-к Цехове</w:t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D2C6D" w:rsidRDefault="008D2C6D">
                            <w:pPr>
                              <w:pStyle w:val="Standard"/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Главен инженер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D2C6D" w:rsidRDefault="008D2C6D">
                            <w:pPr>
                              <w:pStyle w:val="Standard"/>
                              <w:snapToGrid w:val="0"/>
                              <w:spacing w:line="276" w:lineRule="auto"/>
                              <w:jc w:val="center"/>
                            </w:pPr>
                            <w:r>
                              <w:t>Н-к Снабдяване</w:t>
                            </w:r>
                          </w:p>
                        </w:tc>
                      </w:tr>
                    </w:tbl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  <w:r>
                        <w:t>Използване на ресурси                                   Управление на отпадъци</w:t>
                      </w:r>
                    </w:p>
                    <w:p w:rsidR="008D2C6D" w:rsidRDefault="008D2C6D" w:rsidP="004117A0">
                      <w:pPr>
                        <w:pStyle w:val="Standard"/>
                      </w:pPr>
                      <w:r>
                        <w:t>-вода                                                                 Шум</w:t>
                      </w:r>
                    </w:p>
                    <w:p w:rsidR="008D2C6D" w:rsidRDefault="008D2C6D" w:rsidP="004117A0">
                      <w:pPr>
                        <w:pStyle w:val="Standard"/>
                      </w:pPr>
                      <w:r>
                        <w:t>-енергия                                                           Опазване на почвата и подземните води</w:t>
                      </w:r>
                    </w:p>
                    <w:p w:rsidR="008D2C6D" w:rsidRDefault="008D2C6D" w:rsidP="004117A0">
                      <w:pPr>
                        <w:pStyle w:val="Standard"/>
                      </w:pPr>
                      <w:r>
                        <w:t xml:space="preserve">-суровини, спомагателни материали,           Предотвратяване и действия при аварии                         </w:t>
                      </w:r>
                    </w:p>
                    <w:p w:rsidR="008D2C6D" w:rsidRDefault="008D2C6D" w:rsidP="004117A0">
                      <w:pPr>
                        <w:pStyle w:val="Standard"/>
                      </w:pPr>
                      <w:r>
                        <w:t>горива                                                              Преходни и анормални режими на работа</w:t>
                      </w:r>
                    </w:p>
                    <w:p w:rsidR="008D2C6D" w:rsidRDefault="008D2C6D" w:rsidP="004117A0">
                      <w:pPr>
                        <w:pStyle w:val="Standard"/>
                      </w:pPr>
                      <w:r>
                        <w:t>Емисии в атмосферата                                   Прекратяване на работата на инсталациите</w:t>
                      </w:r>
                    </w:p>
                    <w:p w:rsidR="008D2C6D" w:rsidRDefault="008D2C6D" w:rsidP="004117A0">
                      <w:pPr>
                        <w:pStyle w:val="Standard"/>
                      </w:pPr>
                      <w:r>
                        <w:t>Емисии на отпадъчни води</w:t>
                      </w: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  <w:p w:rsidR="008D2C6D" w:rsidRDefault="008D2C6D" w:rsidP="004117A0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9038C" w:rsidRPr="004117A0" w:rsidRDefault="0039038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>1.13.РИОСВ, на чиято територия е разположена инсталацията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РИОСВ – Монтана, Ул. “ Юлиус Ирасек “  № 4, 3400, гр. Монтана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1.14.Басейнова дирекция, на чиято територията е разположена инсталацията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Басейнова Дирекция “Дунавски район” с център гр. Плевен, Ул. “ Чаталджа“  № 60  , 5800,  гр. Плевен</w:t>
      </w:r>
    </w:p>
    <w:p w:rsidR="004117A0" w:rsidRPr="004117A0" w:rsidRDefault="004117A0" w:rsidP="004117A0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Система за управление на околната среда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Symbol" w:eastAsia="SimSun" w:hAnsi="Symbol" w:cs="Mangal"/>
          <w:b/>
          <w:kern w:val="2"/>
          <w:sz w:val="28"/>
          <w:szCs w:val="24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Документиране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 е списък и са разработени необходимите инструкции, изискващи се от разрешителното. /усл. 5.1./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писмени инструкции за мониторинг на техническите и емисионни показатели /усл. 5.2./, за периодична оценка на съответствието на стойностите на техническите и емисионни показатели /усл.5.3./ и за установяване на причините за допуснати несъответствия и предприемане на коригиращи действия /усл.5.4./. При извършване на проверките, резултатите се отразяват в дневници. Прави се оценка за съответствие на техническите и емисионните показатели с определените в условията на разрешителното. При несъответствие се установяват причините и се предприемат необходимите коригиращи действия. Оценката за съответствие, установените причини при несъответствие и предприетите действия се отразяват в дневници.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Разработена е и при необходимост се прилага инструкция за периодична оценка на наличие на нови нормативни разпоредби и уведомява ръководния персонал /усл. 5.5./, резултатите се документират и съхраняват /усл.5.7./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Symbol" w:eastAsia="SimSun" w:hAnsi="Symbol" w:cs="Mangal"/>
          <w:b/>
          <w:kern w:val="2"/>
          <w:sz w:val="28"/>
          <w:szCs w:val="24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Уведомяване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През отчетния период не е имало аварийни или други замърсявания /усл.7.1./. Планирана е промяна в инсталацията , за което са уведомени РИОСВ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,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8662E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МОСВ и ИАОС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/усл.7.4./.</w:t>
      </w:r>
    </w:p>
    <w:p w:rsidR="004117A0" w:rsidRPr="004117A0" w:rsidRDefault="004117A0" w:rsidP="004117A0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Използване на ресурси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3.1. Използване на вода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производствени нужди се използва вода от собствени водоизточници – два броя тръбни кладенци. Ползването на водите е съгласно  издаденото разрешително за водоползване и спазване на условията в него /усл. 8.1.1./.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използване на вода за питейно-битови нужди дружеството има сключен договор с “В и К” ООД гр. Монтана. /усл.8.1.1./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Използваните количества вода през отчетния период   за производствени нужди /вкл.охлаждане/  в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са посочени в Таблица 8.1.2. /усл.8.1.2./.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01591" w:rsidRPr="004117A0" w:rsidRDefault="00401591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                                                                                         Таблица  8.1.2.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2912"/>
        <w:gridCol w:w="2409"/>
        <w:gridCol w:w="2410"/>
        <w:gridCol w:w="1705"/>
      </w:tblGrid>
      <w:tr w:rsidR="004117A0" w:rsidRPr="004117A0" w:rsidTr="004117A0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Инсталация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Норма на ефективност при употребата на вода, кубични метри/единица продукт, съгласно 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Норма на ефективност при употребата на вода, кубични метри/единица продукт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6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Леярна за черни метали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8662E7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2,</w:t>
            </w:r>
            <w:r w:rsidR="00DC7A3C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Няма несъответствия на изразходваните количества вода с определените в разрешителното. /усл.8.1.6.2./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Определени са процесите и съоръженията от Инсталация за черни метали попадаща в Приложение №4 на ЗООС, които са основни консуматори на вода за производствени нужди /вкл. охлаждане/. Изготвени са и се прилагат инструкции за експлоатация и поддръжка на технологичното оборудване за определените процеси /усл. 8.1.3./. Резултатите от проверката се документират и съхраняват /усл. 8.1.5.4./.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Прилага се инструкция за проверка и поддръжка на водопроводната мрежа на площадката, установяване на течове и предприемане на действия за тяхното отстраняване /усл. 8.1.4./. Резултатите от проверката се документират и съхраняват /усл. 8.1.5.3./. През изтеклия период са направени 12 бр. проверки.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Няма установени  течове.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Изготвена е и се прилага инструкция за измерване и документиране на изразходваните количества вода за производствени нужди /вкл.охлаждане/ при работа на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 /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усл. 8.1.5.1./. Информацията, която се документира и съхранява е съгласно разрешителното.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Измерването на изразходваната вода за производствени нужди /вкл. охлаждане/ става чрез водомерните устройства означени на приложение № 12 А от заявлението /приложение № 1 от ГДОС 2008 г/. /усл.8.1.5.1.1./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оценка на съответствието на изразходваните количества вода за производствени нужди /вкл. охлаждане/ за инсталацията попадаща в Приложение №4 на ЗООС с условията на разрешителното /усл. 8.1.5.2./.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3.2. Използване на енергия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Изготвена е и се прилага инструкция за експлоатация и поддръжка на индукционните топилни пещи към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Резултатите от прилагането на тази инструкция се отразяват в дневник /усл. 8.2.1.1./.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Изготвени са и се прилагат, инструкция за измерване/изчисляване на изразходваните количества електроенергия и инструкция за оценка на съответствието на измерените/изчислените количества енергия с определените в разрешителното /усл.8.2.2.1. и усл. 8.2.2.2./. Резултатите от измерването и оценката за съответствие се отразяват в дневник.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Показателите, които се документират са съгласно разрешителното.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Годишната норма на ефективност при употребата на  електроенергия за единица продукт от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инсталация Леярна за черни метали е показана в таблица 8.2.1.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Таблица 8.2.1.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3053"/>
        <w:gridCol w:w="2268"/>
        <w:gridCol w:w="2410"/>
        <w:gridCol w:w="1705"/>
      </w:tblGrid>
      <w:tr w:rsidR="004117A0" w:rsidRPr="004117A0" w:rsidTr="004117A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Инсталация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Норма на ефективност при употребата на електроенергия,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MWh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/единица продукт, съгласно 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Норма на ефективност при употребата на електроенергия,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MWh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/единица продукт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62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Леярна за черни метали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2B5837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2,6</w:t>
            </w:r>
            <w:r w:rsidR="00DC7A3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Няма несъответствие на изразходваните количества електроенергия с определените в условията на разрешителното. /усл.8.2.2.2./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3.3. Използване на суровини, спомагателни материали и горива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Употребените при работа на инсталацията по Условие 2 която попада в обхвата на Приложение №4 към ЗООС, суровини, спомагателни материали и горива са посочени в таблици 8.3.1.1.,8.3.1.1.(1) и 8.3.1.1.(2).Използваните суровини не се различават по вид /усл.8.3.1.1./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Таблица 8.3.1.1.</w:t>
      </w:r>
    </w:p>
    <w:tbl>
      <w:tblPr>
        <w:tblW w:w="1014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547"/>
        <w:gridCol w:w="3348"/>
        <w:gridCol w:w="3260"/>
        <w:gridCol w:w="1985"/>
      </w:tblGrid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Суровини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ефективност, съгласно КР (т/единица продукт)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ефективност(т/единица продукт)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Чугун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76603" w:rsidRDefault="0067660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Навъглеродител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7F418E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</w:t>
            </w:r>
            <w:r w:rsidR="0067660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39</w:t>
            </w:r>
            <w:r w:rsidR="007F418E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93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FeSi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9D5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</w:t>
            </w:r>
            <w:r w:rsidR="005F197A" w:rsidRPr="005F197A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76603" w:rsidRDefault="00676603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FeMn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C0E3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8C0E3C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Пирит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C0E3C" w:rsidRDefault="0067660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8C0E3C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От таблица 8.3.1.1. се вижда, че </w:t>
      </w:r>
      <w:r w:rsidR="00E14D3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количествата на употребените суровини съответстват с нормите посочени в КР.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Използваните спомагателни материали при работа на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4"/>
          <w:lang w:eastAsia="hi-IN" w:bidi="hi-IN"/>
        </w:rPr>
        <w:t xml:space="preserve">инсталация Леярна за черни метали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не се различават по вид от посочените в КР /усл. 8.3.1.1./. Количествата материали вложени в производство са посочени в таблица 8.3.1.1.(1)  </w:t>
      </w: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01591" w:rsidRPr="00676603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lastRenderedPageBreak/>
        <w:t xml:space="preserve">                                                                                  Таблица 8.3.1.1.(1)</w:t>
      </w:r>
    </w:p>
    <w:tbl>
      <w:tblPr>
        <w:tblW w:w="1042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629"/>
        <w:gridCol w:w="3544"/>
        <w:gridCol w:w="2551"/>
        <w:gridCol w:w="1701"/>
      </w:tblGrid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Спомагателни материали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ефективност, съгласно КР (т/единица продукт)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 (т/единица продукт)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Набивна маса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9D5" w:rsidRDefault="008D0A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3629D5" w:rsidRPr="00E42D31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Фенолна смола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A0EF1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7A0EF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624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Втвърдител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D0A5D" w:rsidRDefault="008D0A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7A0EF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Фуртофоб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D0A5D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0,000</w:t>
            </w:r>
            <w:r w:rsidR="007A0EF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Горивата използвани при работа на инсталациите, за които е издадено КР не се различават по вид от посочените в усл. 8.3.1.1. Изразходваните количества са дадени в таблица 8.3.1.1.(2)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                                      Таблица  8.3.1.1.(2)</w:t>
      </w:r>
    </w:p>
    <w:tbl>
      <w:tblPr>
        <w:tblW w:w="1029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089"/>
        <w:gridCol w:w="4087"/>
        <w:gridCol w:w="2270"/>
        <w:gridCol w:w="1844"/>
      </w:tblGrid>
      <w:tr w:rsidR="004117A0" w:rsidRPr="004117A0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</w:t>
            </w:r>
            <w:r w:rsidR="0040159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ри</w:t>
            </w:r>
            <w:r w:rsidR="00103A2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 съгласно 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Природен газ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232,25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Nm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74758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229</w:t>
            </w:r>
            <w:r w:rsidR="00F85CDB"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77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Nm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Нафта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11.67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l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(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0.01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74758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4A446D"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</w:t>
            </w:r>
            <w:r w:rsidR="004117A0"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l/t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(</w:t>
            </w:r>
            <w:r w:rsidR="004A446D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0.00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48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t/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0159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Разработени са и се прилагат инструкции за измерване/изчисляване и документиране на използваните количества суровини , спомагателни  материали и горива.  Отразяват се изразходваните количества по показателите посочени в усл. 8.3.2.1. Прилага се инструкция за оценка на съответствието на употребата на суровини, спомагателни материали и горива за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/усл. 8.3.2.2./ Резултатите се документират и съхраняват.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3.4. Съхранение на суровини, спомагателни материали, горива и продукти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Всички химични вещества и препарати, включително киселини и масла, класифицирани в една или повече категории на опасност са опаковани, етикирани и са снабдени с информационни листове за безопасност. Информационните листове се съхраняват в дружеството и са на разположение на РИОСВ при поискване. Химичните вещества и препарати се съхраняват съгласно условията посочени в информационните листове за безопасност. /усл.8.3.4.1. ; усл. 8.3.4.1.1.; усл. 8.3.4.1.2./ В дружеството няма тръбна преносна мрежа за течни суровини, спомагателни материали и горива.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Всички суровини, спомагателни материали, горива и продукти се съхраняват на обособените за целта складове и площадки посочени на приложение № 23 от заявлението  /усл.8.3.4.2./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Изготвена е и се прилага инструкция за проверка на съответствието на съоръженията и площадките за съхранение с експлоатационните изисквания и условията на разрешителното./усл. 8.3.5.1./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20</w:t>
      </w:r>
      <w:r w:rsidR="002A386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год. са извършени 12 бр. проверки на складовете и площадките за съхранение на суровини, спомагателни материали и горива. При проверките е констатирано, че съхранението им отговаря на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изискванията в разрешителното и информационните листове за безопасност. Площадките са с подходяща подова настилка и без гравитачна връзка с канализацията. Не са констатирани течове, разливи или разсипвания, които биха били предпоставки за замърсявания на почвите или подземните води. При проверките не бяха установени   несъответствия.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 Емисии на вредни и опасни вещества в околната среда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4.1. Доклад по Европейския регистър на емисиите на вредни вещества ( ЕРЕВВ) и PRTR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замърсители, които се отделят в околната среда  и които се докладват в рамките на ЕРЕВВ са определени въз основа на извършените лабораторни измервания и анализ. Резултатите са дадени в таблица 4.1.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/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Таблица 4.1.  Замърсители по ЕРЕВВ и PRTR</w:t>
      </w:r>
    </w:p>
    <w:tbl>
      <w:tblPr>
        <w:tblW w:w="1042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645"/>
        <w:gridCol w:w="1275"/>
        <w:gridCol w:w="2410"/>
        <w:gridCol w:w="992"/>
        <w:gridCol w:w="1417"/>
        <w:gridCol w:w="992"/>
        <w:gridCol w:w="992"/>
        <w:gridCol w:w="1702"/>
      </w:tblGrid>
      <w:tr w:rsidR="004117A0" w:rsidRPr="004117A0" w:rsidTr="005B185B">
        <w:trPr>
          <w:trHeight w:val="69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CAS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Замърсител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Емисионни прагове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 колона 1)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за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замърсите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ли  извън площ.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(колона 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за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производство,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обработка или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употреба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(колона 3 )</w:t>
            </w:r>
          </w:p>
        </w:tc>
      </w:tr>
      <w:tr w:rsidR="004117A0" w:rsidRPr="004117A0" w:rsidTr="005B185B">
        <w:trPr>
          <w:trHeight w:val="79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във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въздух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във води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почва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Кg/год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630-08-0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Въглероден оксид  (СО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rPr>
          <w:trHeight w:val="3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7664-41-7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Амоняк (NH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(11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Азотни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оксиди(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val="en-US" w:eastAsia="hi-IN" w:bidi="hi-IN"/>
              </w:rPr>
              <w:t>x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CC43F3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8899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rPr>
          <w:trHeight w:val="4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Серни оксиди(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7440-38-2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Арсен и съедине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нията му (A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35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7440-43-9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Кадмий и съеди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нения (като Cd)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CC43F3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(0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35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7440-66-6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Никел и съдине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 (като 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35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23#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7439-92-1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 и съедине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 (като Рb)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(0,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35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(0,0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7440-66-6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 и съединения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0,0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4054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 органичен въглерод (ТОС)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0,0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3182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80#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Хлор  и неорган.   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съед.(като HCl)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(11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9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84#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Флуор и неорган.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съед.  (като HF)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</w:t>
            </w:r>
            <w:r w:rsidR="00573FD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7.3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86#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Фини прахови частици </w:t>
            </w:r>
            <w:r w:rsidRPr="004117A0">
              <w:rPr>
                <w:rFonts w:ascii="Symbol" w:eastAsia="SimSun" w:hAnsi="Symbol" w:cs="Mangal"/>
                <w:kern w:val="2"/>
                <w:sz w:val="24"/>
                <w:szCs w:val="24"/>
                <w:lang w:eastAsia="hi-IN" w:bidi="hi-IN"/>
              </w:rPr>
              <w:t>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  <w:r w:rsidRPr="004117A0">
              <w:rPr>
                <w:rFonts w:ascii="Symbol" w:eastAsia="SimSun" w:hAnsi="Symbol" w:cs="Mangal"/>
                <w:kern w:val="2"/>
                <w:sz w:val="24"/>
                <w:szCs w:val="24"/>
                <w:lang w:eastAsia="hi-IN" w:bidi="hi-IN"/>
              </w:rPr>
              <w:t>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(РМ 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:rsidR="004117A0" w:rsidRPr="0040159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14"/>
        </w:numPr>
        <w:tabs>
          <w:tab w:val="num" w:pos="567"/>
        </w:tabs>
        <w:suppressAutoHyphens/>
        <w:spacing w:after="0" w:line="240" w:lineRule="auto"/>
        <w:ind w:firstLine="54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Емисии на вредни вещества в атмосферния въздух</w:t>
      </w:r>
    </w:p>
    <w:p w:rsidR="004117A0" w:rsidRPr="004117A0" w:rsidRDefault="004117A0" w:rsidP="004117A0">
      <w:pPr>
        <w:widowControl w:val="0"/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Работа на пречиствателното оборудване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  <w:t xml:space="preserve">      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информацията по усл.9.1.1.1. и е предоставена в РИОСВ.</w:t>
      </w:r>
      <w:r w:rsidR="004836D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Информацията се съхранява на площадката /усл.9.1.2./.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всяко пречиствателно съоръжение са извършени  проверки с определената честотата.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инструкции за експлоатация и поддържане на оптимален работен режим на всяко пречиствателно съоръжение. /усл. 9.1.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./. Изготвена е и се прилага 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такива в разрешителното. /усл.9.1.5.1./.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След извършените проверки не са установени несъответствия налагащи предприемането на коригиращи действия. /усл.9.1.5.1./ Резултатите от мониторинга на контролираните параметри и оценката за съответствието им се документира и съхранява. /усл.9.1.6.1. и усл.9.1.6.2./.</w:t>
      </w:r>
    </w:p>
    <w:p w:rsidR="004117A0" w:rsidRPr="00D64993" w:rsidRDefault="004117A0" w:rsidP="00D64993">
      <w:pPr>
        <w:pStyle w:val="ListParagraph"/>
        <w:numPr>
          <w:ilvl w:val="2"/>
          <w:numId w:val="14"/>
        </w:numPr>
        <w:jc w:val="both"/>
        <w:rPr>
          <w:b/>
          <w:sz w:val="28"/>
          <w:szCs w:val="24"/>
        </w:rPr>
      </w:pPr>
      <w:r w:rsidRPr="00D64993">
        <w:rPr>
          <w:b/>
          <w:sz w:val="28"/>
          <w:szCs w:val="24"/>
        </w:rPr>
        <w:t>Емисии от точкови източници</w:t>
      </w:r>
    </w:p>
    <w:p w:rsidR="00D64993" w:rsidRPr="00D53850" w:rsidRDefault="00D64993" w:rsidP="00D53850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3850">
        <w:rPr>
          <w:rFonts w:ascii="Times New Roman" w:hAnsi="Times New Roman" w:cs="Times New Roman"/>
          <w:bCs/>
          <w:sz w:val="28"/>
          <w:szCs w:val="24"/>
        </w:rPr>
        <w:t>В резултат на извършено контролно измерване на емисиите на вредни вещества от изпускащо устройство М-2-П-1-1 се констатира превишаване на нормата с допустими емисии на прах съгласно Таблица 9.2.2.1 – продължение.</w:t>
      </w:r>
    </w:p>
    <w:p w:rsidR="00D64993" w:rsidRPr="00D53850" w:rsidRDefault="00D64993" w:rsidP="00D53850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3850">
        <w:rPr>
          <w:rFonts w:ascii="Times New Roman" w:hAnsi="Times New Roman" w:cs="Times New Roman"/>
          <w:bCs/>
          <w:sz w:val="28"/>
          <w:szCs w:val="24"/>
        </w:rPr>
        <w:t>Предприети коригиращи действия:</w:t>
      </w:r>
    </w:p>
    <w:p w:rsidR="00D64993" w:rsidRPr="00D53850" w:rsidRDefault="00D64993" w:rsidP="00D53850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3850">
        <w:rPr>
          <w:rFonts w:ascii="Times New Roman" w:hAnsi="Times New Roman" w:cs="Times New Roman"/>
          <w:bCs/>
          <w:sz w:val="28"/>
          <w:szCs w:val="24"/>
        </w:rPr>
        <w:t>Беше извършена пълна профилактика на изпускащото устройство /почистване/ след което се направи собствено периодично измерване на параметрите му, съгласно дадените предписания от РИОСВ – Монтана. С Протокол от изпитване №22725/26.06.2020год. на ЛИК „ЛИПГЕИ“ към „Пехливанов инженеринг“ ООД гр. София е доказано съответствието на емисиите на прах с регламентираните в КР норми, за което е уведомен и РИОСВ – Монтана.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През отчетния период са извършени по едно емисионно измерване на посочените точкови източници.  Дебитът на технологичните и вентилационни газове на всички източници не превишава определените  стойности /усл.9.2.1./.Не са експлоатирани други точкови източници на емисии в атмосферата, освен определените в разрешителното /усл.9.2.1./.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Всички собствени периодични измервания са извършени от акредитирани лица./усл.9.6.1.1. и усл.9.6.1.2./ Резултатите са посочени в 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таблици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.2.2.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-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продължение; 9.2.2.1.-продължение; 9.2.2.2-продължение; 9.2.3.-продължение; 9.2.4.-продължение и 9.2.4.1.-продължение; 9.2.5.-продължение; 9.2.6.-продължение.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 устройство  М-2-П-2-1 към процес получаване на течен метал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Таблица 9.2.2.-продължение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536"/>
        <w:gridCol w:w="1182"/>
        <w:gridCol w:w="1530"/>
        <w:gridCol w:w="1620"/>
        <w:gridCol w:w="1980"/>
        <w:gridCol w:w="1588"/>
      </w:tblGrid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109C8" w:rsidRDefault="002A386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5109C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Pb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Cd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Mn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ТОС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109C8" w:rsidRDefault="002A386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</w:t>
            </w:r>
            <w:r w:rsidR="005109C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5109C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Амини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*   не е намерена акредитирана лаборатория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530"/>
        <w:gridCol w:w="1980"/>
        <w:gridCol w:w="1980"/>
        <w:gridCol w:w="1570"/>
      </w:tblGrid>
      <w:tr w:rsidR="000E47F6" w:rsidRPr="000E47F6" w:rsidTr="004117A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НДЕ, съгласно КР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0E47F6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  <w:p w:rsidR="004117A0" w:rsidRPr="000E47F6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%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Pb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35</w:t>
            </w:r>
            <w:r w:rsidR="005B185B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B185B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FA43A7"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35</w:t>
            </w:r>
            <w:r w:rsidR="005B185B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B185B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FA43A7"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35</w:t>
            </w:r>
            <w:r w:rsidR="005B185B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B185B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FA43A7"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35</w:t>
            </w:r>
            <w:r w:rsidR="005B185B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B185B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FA43A7"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TOC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70</w:t>
            </w:r>
            <w:r w:rsidR="005B185B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47A7B" w:rsidRDefault="00747A7B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3506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5B185B" w:rsidRDefault="00747A7B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747A7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val="en-US" w:eastAsia="hi-IN" w:bidi="hi-IN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Изпускащи устройства към процесите: изготвяне на формовачна смес – М-2-П-1-1; формовка, леене, охлаждане и отделяне на отливката - М-2-П-3-1; дробометно почистване – М-2-П-4-1. Пречиствателните съоръжения към процесите  дробометно и ротационно почистване с изпускащо устройство  М-2-П-8-1 и  шмиргелене с изпускащо устройство М-2-П-9-1  са подменени със съоръжения, при които пречистения прах се отвежда в работното помещение. За тази промяна са  уведомени МОСВ и РИОСВ – Монтана.                                     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        Таблица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.2.2.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-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тствие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М-2-П-1-1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56757" w:rsidRDefault="00A5675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2A386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М-2-П-3-1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56757" w:rsidRDefault="002A386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A5675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М-2-П-4-1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56757" w:rsidRDefault="002A386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A5675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Изпускащи устройства към процес сушене на кварцов пясък № М-2-П-5-1 и № М-2-3 /горивен процес/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Таблица 9.2.2.2.-продължение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470"/>
        <w:gridCol w:w="105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Съотве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тствие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М-2-П-5-1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F71DE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  <w:t>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032EB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85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F71DE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895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left" w:pos="1005"/>
              </w:tabs>
              <w:suppressAutoHyphens/>
              <w:snapToGrid w:val="0"/>
              <w:spacing w:after="0" w:line="240" w:lineRule="auto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М-2-3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032EB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10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suppressAutoHyphens/>
              <w:snapToGrid w:val="0"/>
              <w:spacing w:after="0" w:line="240" w:lineRule="auto"/>
              <w:ind w:left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  <w:t>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71DE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032EB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7E2BBC" w:rsidRPr="007E2BBC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7E2BBC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%</w:t>
            </w:r>
          </w:p>
        </w:tc>
      </w:tr>
      <w:tr w:rsidR="007E2BBC" w:rsidRPr="007E2BBC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7E2BBC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9168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3369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7E2BBC" w:rsidRPr="007E2BBC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7E2BBC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9168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7E2BBC" w:rsidRPr="007E2BBC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1146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392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устройство към процес байцване № М-2-П-10-1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Таблица 9.2.3.-продължение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М-2-П-10-1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C14C0" w:rsidRDefault="00AC14C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</w:t>
            </w:r>
            <w:r w:rsidR="00150C5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&lt;0,1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NH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C14C0" w:rsidRDefault="00150C5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C14C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DB5064" w:rsidRPr="00DB5064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DB5064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DB5064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DB5064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DB5064" w:rsidRPr="00DB5064" w:rsidTr="004117A0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-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П-10-1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DB5064" w:rsidRPr="00DB5064" w:rsidTr="004117A0"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DB5064" w:rsidRPr="00DB5064" w:rsidTr="004117A0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NH</w:t>
            </w:r>
            <w:r w:rsidRPr="00DB5064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2194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111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DB5064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Изпускащи устройства към процес горещо поцинковане № М-2-П-7-1 и № М-2-5 /горивен процес/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Таблица 9.2.4.- продължение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М-2-П-7-1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AC14C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547E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AC14C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Таблица 9.2.4.1.-продължение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4117A0" w:rsidRPr="004117A0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C14C0" w:rsidRDefault="00AC14C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  <w:r w:rsidR="00A547E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BB0159" w:rsidRPr="00BB0159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BB0159" w:rsidRPr="00BB0159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BB0159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1680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BB0159" w:rsidRPr="00BB0159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BB0159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1680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A43A7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BB0159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 устройство  М-2 – П-11-1 към процес нарязване /заточване/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Таблица 9.2.5.-продължение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536"/>
        <w:gridCol w:w="1182"/>
        <w:gridCol w:w="1530"/>
        <w:gridCol w:w="1620"/>
        <w:gridCol w:w="1980"/>
        <w:gridCol w:w="1588"/>
      </w:tblGrid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</w:t>
            </w:r>
          </w:p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вие</w:t>
            </w:r>
          </w:p>
        </w:tc>
      </w:tr>
      <w:tr w:rsidR="004117A0" w:rsidRPr="004117A0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A547E8" w:rsidRDefault="00A547E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B86F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От резултатите е видно, че няма несъответствия с разрешените емисионни норми в разрешителното, поради което не са предприемани коригиращи действия. /усл.9.2.7./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4.2.3. Неорганизирани емисии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инструкция за периодична оценка на наличието на източници на неорганизирани емисии</w:t>
      </w:r>
      <w:r w:rsidR="00E06AD7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на площадката и инструкция  за извършване на периодична оценка на спазването на мерките за предотвратяване и ограничаване на неорганизираните емисии./усл. 9.3.2. и усл. 9.3.3./ Извършени са 12 бр. проверки. Не са  установени източници на неорганизирани емисии а  мерките за предотвратяване и ограничаването им се спазват, поради което не са предприемани коригиращи действия. Резултатите от проверките се документират и съхраняват.</w:t>
      </w:r>
    </w:p>
    <w:p w:rsidR="00A20D71" w:rsidRPr="004117A0" w:rsidRDefault="00A20D71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0D71" w:rsidRPr="00A20D71" w:rsidRDefault="00A20D71" w:rsidP="00A20D71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B54402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През 2020г  срещу Берг Монтана Фитинги </w:t>
      </w: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 подаден един сигнал за замърсяване на атмосферния въздух. След извърш</w:t>
      </w:r>
      <w:r w:rsidR="00E06AD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ена проверка от РИОСВ Монтана </w:t>
      </w: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се установи изпускане на неорганизирани емиси</w:t>
      </w:r>
      <w:r w:rsidR="00E06AD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  в атмосферата, чрез неоплатнения в  производствената сградата. </w:t>
      </w: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С цел намаляване на </w:t>
      </w:r>
      <w:r w:rsidR="00E06AD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неорганизираните емисии е </w:t>
      </w: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издадена Заповед от Изпълнителният Директор на Дружеството а именно: </w:t>
      </w:r>
    </w:p>
    <w:p w:rsidR="00A20D71" w:rsidRPr="00A20D71" w:rsidRDefault="00A20D71" w:rsidP="00A20D71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-</w:t>
      </w: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намаляване броя на зарежданията на пещите</w:t>
      </w:r>
    </w:p>
    <w:p w:rsidR="00A20D71" w:rsidRPr="00A20D71" w:rsidRDefault="00A20D71" w:rsidP="00A20D71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-</w:t>
      </w: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да се извършва поетапно зареждане на пещите</w:t>
      </w:r>
    </w:p>
    <w:p w:rsidR="00A232F5" w:rsidRDefault="00A20D71" w:rsidP="00A20D71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-</w:t>
      </w:r>
      <w:r w:rsidRPr="00A20D7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да се ограничи едновременната работа на пещите, като една остава в режим на поддръжка.</w:t>
      </w:r>
    </w:p>
    <w:p w:rsidR="00A20D71" w:rsidRPr="004117A0" w:rsidRDefault="00A20D71" w:rsidP="00A20D71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4.2.4. Интензивно миришещи вещества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спазването на мерките за предотвратяване на емисиите на интензивно миришещи вещества, установяване на причините за несъответствията и предприемане на коригиращи действия /усл.9.4.3./.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При извършване на всички производствени и спомагателни дейности на площадката   се използват суровини и спомагателни материали, които не са интензивно миришещи. В дружеството няма постъпили писмени оплаквания за миризми в резултат от дейностите, извършвани на площадката. Няма предприети коригиращи действия.</w:t>
      </w:r>
    </w:p>
    <w:p w:rsidR="005A29D6" w:rsidRDefault="005A29D6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</w:p>
    <w:p w:rsidR="005A29D6" w:rsidRPr="004117A0" w:rsidRDefault="005A29D6" w:rsidP="005A29D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 4.3. Емисии на вредни и опасни вещества в  отпадъчните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4.3.1. Производствени отпадъчни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Работа на пречиствателните съоръжения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Изготвена е и се прилага инструкция за поддържане на оптималните стойности на технологичните параметри, осигуряващи оптимален режим на пречиствателните съоръжения за отпадъчни води към Инсталацията за повърхностна обработка на метали./усл.10.1.1.1.3./ Изготвена е и се прилага инструкция за периодична проверка и поддръжка на техническа и експлоатационна изправност на пречиствателното съоръжение /усл. 10.1.1.1.4./. Изготвени са и се прилагат инструкция за поддържане оптимални стойности на контролираните параметри и инструкция за проверка съответствието на стойностите им с определените такива в КР./усл. 10.1.1.2.1. и усл. 10.1.1.2.2./  Изготвена е и се прилага инструкция за периодична проверка и поддръжка на пречиствателните съоръжения./усл.10.1.1.2.3./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Извършени са 12 броя проверки за оценка на съответствието на данните от мониторинга на контролираните параметри на пречиствателните съоръжения. Не са установени несъответствия и няма предприети коригиращи действия. /усл.10.1.1.2.2./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проверка и поддръжка състоянието на канализационната мрежа на площадката /усл. 10.1.1.3./.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Извършени са 12 броя проверки. Не са установени  несъответствия.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3"/>
          <w:numId w:val="18"/>
        </w:numPr>
        <w:suppressAutoHyphens/>
        <w:spacing w:after="0" w:line="240" w:lineRule="auto"/>
        <w:ind w:hanging="1091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Емисионни норми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Смесеният поток отпадъчни води (производствени отпадъчни води от процесите байцване, промиване, обезмасляване и дъждовни отпадъчни води) е заустен в градската канализация в ТЗ №3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213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370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/усл. 10.1.2.1./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Дружеството извършва  собствен мониторинг на тези води на показателите посочени в разрешителното. Анализите са извършени от акредитирана лаборатория. Резултатите от измерването са посочени в следващите таблици. Изготвена е и се прилага инструкция за измерване на количествата зауствани отпадъчни води /усл. 10.1.3.2./.Прилага се и инструкция за оценка на съответствието на резултатите от собствения мониторинг с определените в КР, установяване на несъответствията и предприемане на коригиращи действия / усл. 10.1.3.3./.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>Първо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7"/>
        <w:gridCol w:w="1164"/>
        <w:gridCol w:w="1536"/>
        <w:gridCol w:w="1536"/>
        <w:gridCol w:w="1974"/>
        <w:gridCol w:w="1315"/>
      </w:tblGrid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A860D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860D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1,06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AC6F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1,66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8530E" w:rsidRDefault="00B8530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29</w:t>
            </w:r>
          </w:p>
          <w:p w:rsidR="004117A0" w:rsidRPr="00B8530E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B8530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  <w:p w:rsidR="004117A0" w:rsidRPr="00B8530E" w:rsidRDefault="00B8530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25825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7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Второ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hanging="144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 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ПТ 3а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083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1,49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0,62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Дебит на отпадъчните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1,88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2062D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8530E" w:rsidRDefault="00B8530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78</w:t>
            </w:r>
          </w:p>
          <w:p w:rsidR="004117A0" w:rsidRPr="00AC7A81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AC7A8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25825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Трето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7"/>
        <w:gridCol w:w="1164"/>
        <w:gridCol w:w="1563"/>
        <w:gridCol w:w="1509"/>
        <w:gridCol w:w="1974"/>
        <w:gridCol w:w="1318"/>
      </w:tblGrid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110D8C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&lt;</w:t>
            </w:r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7.99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</w:t>
            </w:r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Дебит на отпадъчните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</w:t>
            </w:r>
          </w:p>
          <w:p w:rsidR="004117A0" w:rsidRPr="00AC7A81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AC7A8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  <w:p w:rsidR="004117A0" w:rsidRPr="00BB0159" w:rsidRDefault="00AC7A81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25825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Четвърто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0.097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A15E0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627"/>
        <w:gridCol w:w="1943"/>
        <w:gridCol w:w="1254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8.6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,44</w:t>
            </w:r>
          </w:p>
          <w:p w:rsidR="004117A0" w:rsidRPr="00AC7A81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AC7A8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25825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A232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Емисии (замърсители) в отпадъчни води (производствени) във канализация</w:t>
      </w:r>
    </w:p>
    <w:p w:rsidR="004117A0" w:rsidRPr="00623643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623643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62364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Точка на заустване № 3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727"/>
        <w:gridCol w:w="1344"/>
        <w:gridCol w:w="1536"/>
        <w:gridCol w:w="1536"/>
        <w:gridCol w:w="1926"/>
        <w:gridCol w:w="1366"/>
      </w:tblGrid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 (%)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Неразтв. в-ва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3628D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4117A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8D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8D8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8D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085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Олово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8D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0,00</w:t>
            </w:r>
            <w:r w:rsidR="003628D8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8D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0,0</w:t>
            </w:r>
            <w:r w:rsidR="003628D8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 въглерод</w:t>
            </w:r>
          </w:p>
          <w:p w:rsidR="004117A0" w:rsidRPr="00623643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(нефтопродукти)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628D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на замърсителите в точка на заустване № 3 са изчислени със средните стойности от проведения собствен мониторинг.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color w:val="FF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color w:val="FF0000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4.3.2. Охлаждащи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4.3.2.1. Емисионни норми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Смесеният поток отпадъчни води (охлаждащи води, води от регенерация на филтри за омекотена вода и дъждовни води) е заустен в градската канализация в  ТЗ №1 с координати: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367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Извършва се собствен мониторинг на показателите определени в разрешителното. Анализите се извършват от акредитирана лаборатория. Резултатите от мониторинга са посочени в следващите таблици.</w:t>
      </w:r>
    </w:p>
    <w:p w:rsidR="004117A0" w:rsidRPr="00A232F5" w:rsidRDefault="004117A0" w:rsidP="00A232F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измерване на количествата зауствани отпадъчни води /усл. 10.2.2.2./.Прилага се и инструкция за оценка на съответствието на резултатите от собствения мониторинг с определените в КР, установяване на несъответствията и предприемане на коригиращи действия / усл. 10.2.2.3./.</w:t>
      </w: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Първо тримесечие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ПТ. 1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BB0159" w:rsidRDefault="00AC7A81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Второ, трето и четвърто  тримесечия</w:t>
      </w:r>
    </w:p>
    <w:p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8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 1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266"/>
        <w:gridCol w:w="1002"/>
        <w:gridCol w:w="990"/>
        <w:gridCol w:w="1080"/>
        <w:gridCol w:w="1608"/>
        <w:gridCol w:w="1120"/>
      </w:tblGrid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ветст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вие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ІІ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ІІІ 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ІV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,37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BB0159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BB0159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BB0159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4.3.3. Битови фекални отпадъчни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4.3.3.1. Емисионни норми</w:t>
      </w:r>
    </w:p>
    <w:p w:rsidR="004117A0" w:rsidRPr="009C1569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Отпадъчните битово-фекални води от посочените обекти в усл. 10.3.1.1. на разрешителното са заустени в  ТЗ №2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290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270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ТЗ №5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100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Съгласно усл. 10.3.2.1. честотата за провеждане на собствен мониторинг по определените показатели в разрешителното е 1 път на две години. През отчетния период</w:t>
      </w:r>
      <w:r w:rsidR="009C156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</w:t>
      </w:r>
      <w:r w:rsidR="009C156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 собствен мониторинг</w:t>
      </w:r>
      <w:r w:rsidR="009C1569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DC660D" w:rsidRDefault="00DC660D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DC660D" w:rsidRPr="004117A0" w:rsidRDefault="009C1569" w:rsidP="007F2EE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ПТ№2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842"/>
        <w:gridCol w:w="1560"/>
        <w:gridCol w:w="1842"/>
      </w:tblGrid>
      <w:tr w:rsidR="00BD16B1" w:rsidTr="007F2EEB">
        <w:tc>
          <w:tcPr>
            <w:tcW w:w="1951" w:type="dxa"/>
          </w:tcPr>
          <w:p w:rsidR="009C1569" w:rsidRPr="00D46ABF" w:rsidRDefault="00D46ABF" w:rsidP="009C1569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bookmarkStart w:id="1" w:name="_Hlk63844523"/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Параметър</w:t>
            </w:r>
          </w:p>
        </w:tc>
        <w:tc>
          <w:tcPr>
            <w:tcW w:w="1276" w:type="dxa"/>
          </w:tcPr>
          <w:p w:rsidR="00DC660D" w:rsidRPr="009B364E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Единица</w:t>
            </w:r>
          </w:p>
        </w:tc>
        <w:tc>
          <w:tcPr>
            <w:tcW w:w="1276" w:type="dxa"/>
          </w:tcPr>
          <w:p w:rsidR="00DC660D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НДЕ</w:t>
            </w:r>
          </w:p>
          <w:p w:rsidR="009B364E" w:rsidRPr="009B364E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съгласно КР</w:t>
            </w:r>
          </w:p>
        </w:tc>
        <w:tc>
          <w:tcPr>
            <w:tcW w:w="1842" w:type="dxa"/>
          </w:tcPr>
          <w:p w:rsidR="00DC660D" w:rsidRPr="009B364E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Резултати от мониторинг</w:t>
            </w: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60" w:type="dxa"/>
          </w:tcPr>
          <w:p w:rsidR="00DC660D" w:rsidRPr="009B364E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842" w:type="dxa"/>
          </w:tcPr>
          <w:p w:rsidR="00DC660D" w:rsidRPr="009B364E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Съответствие</w:t>
            </w:r>
          </w:p>
        </w:tc>
      </w:tr>
      <w:tr w:rsidR="00BD16B1" w:rsidTr="007F2EEB">
        <w:tc>
          <w:tcPr>
            <w:tcW w:w="1951" w:type="dxa"/>
          </w:tcPr>
          <w:p w:rsidR="00DC660D" w:rsidRPr="009B364E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ХПК</w:t>
            </w:r>
          </w:p>
        </w:tc>
        <w:tc>
          <w:tcPr>
            <w:tcW w:w="1276" w:type="dxa"/>
          </w:tcPr>
          <w:p w:rsidR="00DC660D" w:rsidRPr="00BD16B1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600</w:t>
            </w:r>
          </w:p>
        </w:tc>
        <w:tc>
          <w:tcPr>
            <w:tcW w:w="1842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218</w:t>
            </w:r>
          </w:p>
        </w:tc>
        <w:tc>
          <w:tcPr>
            <w:tcW w:w="1560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1 път на две години</w:t>
            </w:r>
          </w:p>
        </w:tc>
        <w:tc>
          <w:tcPr>
            <w:tcW w:w="1842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BD16B1" w:rsidTr="007F2EEB">
        <w:tc>
          <w:tcPr>
            <w:tcW w:w="1951" w:type="dxa"/>
          </w:tcPr>
          <w:p w:rsidR="00DC660D" w:rsidRPr="009B364E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Неразтворени в-ва</w:t>
            </w:r>
          </w:p>
        </w:tc>
        <w:tc>
          <w:tcPr>
            <w:tcW w:w="1276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  <w:t>mg/dm</w:t>
            </w: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vertAlign w:val="superscript"/>
                <w:lang w:val="en-US" w:eastAsia="hi-IN" w:bidi="hi-IN"/>
              </w:rPr>
              <w:t>3</w:t>
            </w:r>
          </w:p>
        </w:tc>
        <w:tc>
          <w:tcPr>
            <w:tcW w:w="1276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150</w:t>
            </w:r>
          </w:p>
        </w:tc>
        <w:tc>
          <w:tcPr>
            <w:tcW w:w="1842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93</w:t>
            </w:r>
          </w:p>
        </w:tc>
        <w:tc>
          <w:tcPr>
            <w:tcW w:w="1560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BD16B1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 xml:space="preserve">1 път на две години </w:t>
            </w:r>
          </w:p>
        </w:tc>
        <w:tc>
          <w:tcPr>
            <w:tcW w:w="1842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BD16B1" w:rsidTr="007F2EEB">
        <w:tc>
          <w:tcPr>
            <w:tcW w:w="1951" w:type="dxa"/>
          </w:tcPr>
          <w:p w:rsidR="00DC660D" w:rsidRPr="009B364E" w:rsidRDefault="009B364E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276" w:type="dxa"/>
          </w:tcPr>
          <w:p w:rsidR="00DC660D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</w:pPr>
            <w:r w:rsidRPr="00BD16B1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  <w:t>m</w:t>
            </w:r>
            <w:r w:rsidRPr="00BD16B1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vertAlign w:val="superscript"/>
                <w:lang w:val="en-US" w:eastAsia="hi-IN" w:bidi="hi-IN"/>
              </w:rPr>
              <w:t>3</w:t>
            </w:r>
            <w:r w:rsidRPr="00BD16B1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  <w:t>/час</w:t>
            </w:r>
          </w:p>
          <w:p w:rsid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  <w:t>m</w:t>
            </w:r>
            <w:r w:rsidRPr="00BD16B1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vertAlign w:val="superscript"/>
                <w:lang w:val="en-US"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  <w:t>/</w:t>
            </w: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ден</w:t>
            </w:r>
          </w:p>
          <w:p w:rsidR="00BD16B1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  <w:t>m</w:t>
            </w:r>
            <w:r w:rsidRPr="00BD16B1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vertAlign w:val="superscript"/>
                <w:lang w:val="en-US"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  <w:t>/</w:t>
            </w: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год</w:t>
            </w:r>
          </w:p>
        </w:tc>
        <w:tc>
          <w:tcPr>
            <w:tcW w:w="1276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DC660D" w:rsidRPr="00BD16B1" w:rsidRDefault="00BD16B1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ДА</w:t>
            </w:r>
          </w:p>
        </w:tc>
      </w:tr>
      <w:bookmarkEnd w:id="1"/>
    </w:tbl>
    <w:p w:rsid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DC660D" w:rsidRDefault="00DC660D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DC660D" w:rsidRPr="009C1569" w:rsidRDefault="009C1569" w:rsidP="007F2EE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>ПТ№5</w:t>
      </w: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874"/>
        <w:gridCol w:w="1389"/>
        <w:gridCol w:w="1312"/>
        <w:gridCol w:w="1709"/>
        <w:gridCol w:w="1709"/>
        <w:gridCol w:w="1922"/>
      </w:tblGrid>
      <w:tr w:rsidR="007F2EEB" w:rsidTr="007F2EEB">
        <w:trPr>
          <w:trHeight w:val="1082"/>
        </w:trPr>
        <w:tc>
          <w:tcPr>
            <w:tcW w:w="1642" w:type="dxa"/>
          </w:tcPr>
          <w:p w:rsidR="00DC660D" w:rsidRPr="007F2EEB" w:rsidRDefault="001F78E7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Параметър</w:t>
            </w:r>
          </w:p>
        </w:tc>
        <w:tc>
          <w:tcPr>
            <w:tcW w:w="1470" w:type="dxa"/>
          </w:tcPr>
          <w:p w:rsidR="00DC660D" w:rsidRPr="007F2EEB" w:rsidRDefault="001F78E7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Единица</w:t>
            </w:r>
          </w:p>
        </w:tc>
        <w:tc>
          <w:tcPr>
            <w:tcW w:w="1340" w:type="dxa"/>
          </w:tcPr>
          <w:p w:rsidR="001F78E7" w:rsidRPr="007F2EEB" w:rsidRDefault="001F78E7" w:rsidP="001F78E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НДЕ</w:t>
            </w:r>
          </w:p>
          <w:p w:rsidR="00DC660D" w:rsidRDefault="001F78E7" w:rsidP="001F78E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съгласно КР</w:t>
            </w:r>
          </w:p>
        </w:tc>
        <w:tc>
          <w:tcPr>
            <w:tcW w:w="1746" w:type="dxa"/>
          </w:tcPr>
          <w:p w:rsidR="00DC660D" w:rsidRPr="007F2EEB" w:rsidRDefault="001F78E7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746" w:type="dxa"/>
          </w:tcPr>
          <w:p w:rsidR="00DC660D" w:rsidRPr="007F2EEB" w:rsidRDefault="001F78E7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971" w:type="dxa"/>
          </w:tcPr>
          <w:p w:rsidR="00DC660D" w:rsidRPr="007F2EEB" w:rsidRDefault="001F78E7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Съответствие</w:t>
            </w:r>
          </w:p>
        </w:tc>
      </w:tr>
      <w:tr w:rsidR="007F2EEB" w:rsidTr="007F2EEB">
        <w:tc>
          <w:tcPr>
            <w:tcW w:w="1642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 xml:space="preserve">ХПК </w:t>
            </w:r>
          </w:p>
        </w:tc>
        <w:tc>
          <w:tcPr>
            <w:tcW w:w="1470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40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600</w:t>
            </w:r>
          </w:p>
        </w:tc>
        <w:tc>
          <w:tcPr>
            <w:tcW w:w="1746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226</w:t>
            </w:r>
          </w:p>
        </w:tc>
        <w:tc>
          <w:tcPr>
            <w:tcW w:w="1746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1 път на две години</w:t>
            </w:r>
          </w:p>
        </w:tc>
        <w:tc>
          <w:tcPr>
            <w:tcW w:w="1971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7F2EEB" w:rsidTr="007F2EEB">
        <w:tc>
          <w:tcPr>
            <w:tcW w:w="1642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Неразтворени в-ва</w:t>
            </w:r>
          </w:p>
        </w:tc>
        <w:tc>
          <w:tcPr>
            <w:tcW w:w="1470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mg/dm</w:t>
            </w: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340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150</w:t>
            </w:r>
          </w:p>
        </w:tc>
        <w:tc>
          <w:tcPr>
            <w:tcW w:w="1746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106</w:t>
            </w:r>
          </w:p>
        </w:tc>
        <w:tc>
          <w:tcPr>
            <w:tcW w:w="1746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 xml:space="preserve">1 път на две години </w:t>
            </w:r>
          </w:p>
        </w:tc>
        <w:tc>
          <w:tcPr>
            <w:tcW w:w="1971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7F2EEB" w:rsidTr="007F2EEB">
        <w:tc>
          <w:tcPr>
            <w:tcW w:w="1642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 xml:space="preserve">Дебит на отпадъчните води </w:t>
            </w:r>
          </w:p>
        </w:tc>
        <w:tc>
          <w:tcPr>
            <w:tcW w:w="1470" w:type="dxa"/>
          </w:tcPr>
          <w:p w:rsidR="007F2EEB" w:rsidRPr="007F2EEB" w:rsidRDefault="007F2EEB" w:rsidP="007F2EE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m3/час</w:t>
            </w:r>
          </w:p>
          <w:p w:rsidR="007F2EEB" w:rsidRPr="007F2EEB" w:rsidRDefault="007F2EEB" w:rsidP="007F2EE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m3/ден</w:t>
            </w:r>
          </w:p>
          <w:p w:rsidR="00DC660D" w:rsidRPr="007F2EEB" w:rsidRDefault="007F2EEB" w:rsidP="007F2EE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>m3/год</w:t>
            </w:r>
          </w:p>
        </w:tc>
        <w:tc>
          <w:tcPr>
            <w:tcW w:w="1340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46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46" w:type="dxa"/>
          </w:tcPr>
          <w:p w:rsidR="00DC660D" w:rsidRDefault="00DC660D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971" w:type="dxa"/>
          </w:tcPr>
          <w:p w:rsidR="00DC660D" w:rsidRPr="007F2EEB" w:rsidRDefault="007F2EEB" w:rsidP="004117A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</w:pPr>
            <w:r w:rsidRPr="007F2EEB">
              <w:rPr>
                <w:rFonts w:ascii="Times New Roman" w:eastAsia="SimSun" w:hAnsi="Times New Roman" w:cs="Mangal"/>
                <w:bCs/>
                <w:kern w:val="2"/>
                <w:sz w:val="28"/>
                <w:szCs w:val="24"/>
                <w:lang w:eastAsia="hi-IN" w:bidi="hi-IN"/>
              </w:rPr>
              <w:t xml:space="preserve">ДА </w:t>
            </w:r>
          </w:p>
        </w:tc>
      </w:tr>
    </w:tbl>
    <w:p w:rsidR="007F2EEB" w:rsidRDefault="007F2EEB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</w:pPr>
    </w:p>
    <w:p w:rsidR="00411054" w:rsidRDefault="00411054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</w:pPr>
    </w:p>
    <w:p w:rsidR="00DC660D" w:rsidRDefault="009C1569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val="en-US" w:eastAsia="hi-IN" w:bidi="hi-IN"/>
        </w:rPr>
      </w:pPr>
      <w:r w:rsidRPr="009C1569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 xml:space="preserve">Изготвени са и се прилагат инструкция за измерване/изчисляване на количествата заустени води и инструкция за оценка на съответствието на резултатите от собствения мониторинг с определените в разрешителното. /усл.10.3.2.2. и усл.10.3.2.3./  В точка на заустване № 2 през отчетния период количеството заустени води са </w:t>
      </w:r>
      <w:r w:rsidR="00A55153" w:rsidRPr="00A55153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>6599</w:t>
      </w:r>
      <w:r w:rsidRPr="009C1569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 xml:space="preserve"> м3 .  В точка на заустване № 5 заустените количества са </w:t>
      </w:r>
      <w:r w:rsidRPr="00A55153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>120</w:t>
      </w:r>
      <w:r w:rsidRPr="009C1569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 xml:space="preserve"> м3. Не са установени  несъответствия.</w:t>
      </w:r>
      <w:r w:rsidRPr="009C1569">
        <w:rPr>
          <w:rFonts w:ascii="Times New Roman" w:eastAsia="SimSun" w:hAnsi="Times New Roman" w:cs="Mangal"/>
          <w:bCs/>
          <w:kern w:val="2"/>
          <w:sz w:val="28"/>
          <w:szCs w:val="24"/>
          <w:lang w:val="en-US" w:eastAsia="hi-IN" w:bidi="hi-IN"/>
        </w:rPr>
        <w:t xml:space="preserve"> </w:t>
      </w:r>
    </w:p>
    <w:p w:rsidR="00411054" w:rsidRDefault="00411054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val="en-US" w:eastAsia="hi-IN" w:bidi="hi-IN"/>
        </w:rPr>
      </w:pPr>
    </w:p>
    <w:p w:rsidR="00411054" w:rsidRPr="009C1569" w:rsidRDefault="00411054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4.3.4. Дъждовни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4.3.4.1. Емисионни норми</w:t>
      </w: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Дъждовните води от обектите посочени в усл. 10.4.1.1. на разрешителното са заустени в ТЗ № 4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264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142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Изготвена е и се прилага инструкция за периодична проверка и поддръжка състоянието на канализационната мрежа на площадката на дружеството /усл.10.4.1.2./.</w:t>
      </w:r>
    </w:p>
    <w:p w:rsidR="00A232F5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5.Управление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5.1. Образуване на отпадъци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В резултат на производствената дейност на инсталациите посочени в усл. №2 на разрешителното се образуват отпадъци, които не се различават по вид  определени в усл.11.1.1.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Образуваните отпадъци по вид и количества  са  посочени  в таблица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 таблица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.2.                  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2836"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Таблица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.1. Производствени отпадъци        </w:t>
      </w:r>
    </w:p>
    <w:tbl>
      <w:tblPr>
        <w:tblW w:w="1035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1134"/>
        <w:gridCol w:w="1417"/>
        <w:gridCol w:w="1276"/>
        <w:gridCol w:w="1566"/>
      </w:tblGrid>
      <w:tr w:rsidR="004117A0" w:rsidRPr="004117A0" w:rsidTr="004117A0">
        <w:trPr>
          <w:trHeight w:val="330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Годишно количество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 xml:space="preserve">  /t/y/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Норма за ефективност 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t/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единица продукт/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30"/>
        </w:trPr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Шлака от пещи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F24F3" w:rsidRDefault="000F24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</w:t>
            </w:r>
            <w:r w:rsidR="006200F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08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</w:t>
            </w:r>
            <w:r w:rsidR="006200F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0,0346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Използвани отпадъч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леярски сърца, ма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трици и пресформи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различни, от упомена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тите в 10 09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F24F3" w:rsidRDefault="006200F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3619</w:t>
            </w:r>
            <w:r w:rsidR="000F24F3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0,40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Прах от отпадъчни га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зове различен от упо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менатия в 10 09 09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0F24F3" w:rsidRDefault="006200F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863</w:t>
            </w:r>
            <w:r w:rsidR="000F24F3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,4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0,0968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Отпадъци, неупоме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нати другаде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отсев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ки от кварцов пясък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6200F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17</w:t>
            </w:r>
            <w:r w:rsidR="008602F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</w:t>
            </w:r>
            <w:r w:rsidR="00CA6A28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Отпадъчни материа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ли от струйно почист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ване на повърхности/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бластиране, различни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 упоменатите в 12 01 16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стоманени дробинки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12 01 17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6200F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249</w:t>
            </w:r>
            <w:r w:rsidR="008602F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,8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0,0280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Други облицовачни 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огнеупорни материа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ли от металургични процеси, различни от упоменатите в 16 11 03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16 11 04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CA6A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88</w:t>
            </w:r>
            <w:r w:rsidR="008602F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  <w:r w:rsidR="008602F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0,0099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A232F5" w:rsidRDefault="00A232F5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184978" w:rsidRDefault="00184978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184978" w:rsidRDefault="00184978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184978" w:rsidRPr="004117A0" w:rsidRDefault="00184978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              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Таблица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 Опасни отпадъци</w:t>
      </w:r>
    </w:p>
    <w:tbl>
      <w:tblPr>
        <w:tblW w:w="10215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2413"/>
        <w:gridCol w:w="1277"/>
        <w:gridCol w:w="1135"/>
        <w:gridCol w:w="1135"/>
        <w:gridCol w:w="1277"/>
        <w:gridCol w:w="1418"/>
        <w:gridCol w:w="1560"/>
      </w:tblGrid>
      <w:tr w:rsidR="004117A0" w:rsidRPr="004117A0" w:rsidTr="004117A0">
        <w:trPr>
          <w:trHeight w:val="330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Годишно количество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(t/y)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Норма за ефективност 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 xml:space="preserve"> t/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единица продукт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rPr>
          <w:trHeight w:val="330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Неизползвани отпа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дъчни леярски сърца, матрици и пресфор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ми, съдържащи опа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10 09 05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E510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0,014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8602F5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</w:t>
            </w:r>
            <w:r w:rsidR="00E510F3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Използвани отпадъч ни леярски сърца, матрици и пресфор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ми, съдържащи опа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10 09 07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E510F3" w:rsidRDefault="00E510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E510F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ДА </w:t>
            </w:r>
          </w:p>
        </w:tc>
      </w:tr>
    </w:tbl>
    <w:p w:rsidR="004117A0" w:rsidRPr="004117A0" w:rsidRDefault="004117A0" w:rsidP="00A232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количеството образувани отпадъци на единица продукт./усл.11.1.2./ Резултатите от оценката за съответствието се документират и съхраняват.</w:t>
      </w:r>
    </w:p>
    <w:p w:rsidR="002A6B27" w:rsidRPr="004117A0" w:rsidRDefault="002A6B2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0"/>
        </w:num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Приемане на отпадъци за третиране</w:t>
      </w:r>
    </w:p>
    <w:p w:rsidR="004117A0" w:rsidRPr="009B2995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На площадката се събират единствено отпадъците определени в комплексното разрешително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и в съответствие с изискванията на същото./усл.11.2.1. и усл.11.2.2.1./. През отчетната година са приети за третиране следните отпадъци: </w:t>
      </w:r>
      <w:r w:rsidR="00A55153"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2101</w:t>
      </w:r>
      <w:r w:rsidR="00B544DF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,</w:t>
      </w:r>
      <w:r w:rsidR="00A55153"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462</w:t>
      </w:r>
      <w:r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 с код 19 12 02</w:t>
      </w:r>
      <w:r w:rsidR="00B544DF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; </w:t>
      </w:r>
      <w:r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A55153"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3128</w:t>
      </w:r>
      <w:r w:rsidR="00B544DF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,</w:t>
      </w:r>
      <w:r w:rsidR="00A55153"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02</w:t>
      </w:r>
      <w:r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="009B2995"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 с код 12 01 01</w:t>
      </w:r>
      <w:r w:rsidR="009B2995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; </w:t>
      </w:r>
      <w:r w:rsidR="009B2995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2</w:t>
      </w:r>
      <w:r w:rsidR="00A55153"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217</w:t>
      </w:r>
      <w:r w:rsidR="00B544DF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,</w:t>
      </w:r>
      <w:r w:rsidR="00A55153"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т. с код 17 04 05.Общото количество доставен скрап е </w:t>
      </w:r>
      <w:r w:rsid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7446</w:t>
      </w:r>
      <w:r w:rsidR="00B544DF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,6</w:t>
      </w:r>
      <w:r w:rsid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82</w:t>
      </w:r>
      <w:r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5.3.Предварително съхраняване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Всички отпадъци образувани на площадката временно се съхраняват на определените площадки, посочени в приложение № 49 към Решение №125-Н0-И1-А1/2016. През отчетния период не е допуснато смесване на опасни отпадъци с други отпадъци, смесване на оползотворими с неоползотворими и смесването на опасни отпадъци с други вещества,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включително разреждане на опасни отпадъци. /усл. 11.3.4. и усл.11.3.7./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съответствието на предварителното съхраняване с условията на разрешителното /усл.11.3.8./. Извършени са 12 броя проверки. Не са установени   несъответствия. Тези резултати се документират и съхраняват.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В таблица 5.3. са нанесени количест</w:t>
      </w:r>
      <w:r w:rsidR="00D57E2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вата образувани отпадъци за 20</w:t>
      </w:r>
      <w:r w:rsidR="008A138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г. , съхранявани на определените за целта площадки.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72AE2" w:rsidRDefault="00372AE2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72AE2" w:rsidRPr="004117A0" w:rsidRDefault="00372AE2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Таблица 5.3.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2126"/>
        <w:gridCol w:w="2126"/>
        <w:gridCol w:w="993"/>
      </w:tblGrid>
      <w:tr w:rsidR="005260C8" w:rsidTr="005260C8">
        <w:trPr>
          <w:trHeight w:val="11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на отпадъка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Годишно количество разрешено за съхраяване, t/y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Годишно количество  о</w:t>
            </w:r>
            <w:r w:rsidR="00B072F1">
              <w:rPr>
                <w:rFonts w:ascii="Calibri" w:hAnsi="Calibri" w:cs="Calibri"/>
                <w:b/>
                <w:bCs/>
                <w:color w:val="000000"/>
              </w:rPr>
              <w:t>бразувано и съхраявано през 20</w:t>
            </w:r>
            <w:r w:rsidR="00395506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г, t/y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Съответствие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Шлака от пещи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0178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8,</w:t>
            </w:r>
            <w:r w:rsidR="0010178B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Използвани отпадъчни леярски сърца,  матрици и      пресформи различни, от упоменатите в 10 09 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3619</w:t>
            </w:r>
            <w:r w:rsidR="005260C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Прах от отпадъчни газове различен от упоменатия в 10 09 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  <w:r w:rsidR="005260C8">
              <w:rPr>
                <w:rFonts w:ascii="Calibri" w:hAnsi="Calibri" w:cs="Calibri"/>
                <w:color w:val="000000"/>
              </w:rPr>
              <w:t>,4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н</w:t>
            </w:r>
            <w:r w:rsidR="004D78EB"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t>упоменати другаде (Отсевки от кварцов пясък)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5260C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нупоменати другаде (Консервационна течност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11 05 01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Твърд цинк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Pr="00086275" w:rsidRDefault="0008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A3191D">
              <w:rPr>
                <w:rFonts w:ascii="Calibri" w:hAnsi="Calibri" w:cs="Calibri"/>
                <w:lang w:val="en-US"/>
              </w:rPr>
              <w:t>112.86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11 05 02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Цинкова пепел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0178B">
              <w:rPr>
                <w:rFonts w:ascii="Calibri" w:hAnsi="Calibri" w:cs="Calibri"/>
                <w:color w:val="000000"/>
              </w:rPr>
              <w:t>33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10178B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Стърготини, ст</w:t>
            </w:r>
            <w:r w:rsidR="004D78EB"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ужки и изрезки от черни метали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  <w:r w:rsidR="005260C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Отпадъчни материали от струйно почистване на повърхности/бластиране,                                               различни от упоменатите в 12 01 16 (стоманени дробинки)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  <w:r w:rsidR="005260C8">
              <w:rPr>
                <w:rFonts w:ascii="Calibri" w:hAnsi="Calibri" w:cs="Calibri"/>
                <w:color w:val="000000"/>
              </w:rPr>
              <w:t>,8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Хартиени и картонени опаковки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10178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16 11 04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 облицовъчни и огнеупорни материали от металургични процеси, различни от упоменатите в 16 11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  <w:r w:rsidR="005260C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5260C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05*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Неизползвани отпадъчни леярски сърца, матрици и пресформи, съдържащи опасни вещес</w:t>
            </w:r>
            <w:r w:rsidR="004D78EB">
              <w:rPr>
                <w:rFonts w:ascii="Calibri" w:hAnsi="Calibri" w:cs="Calibri"/>
                <w:color w:val="000000"/>
              </w:rPr>
              <w:t>т</w:t>
            </w:r>
            <w:r>
              <w:rPr>
                <w:rFonts w:ascii="Calibri" w:hAnsi="Calibri" w:cs="Calibri"/>
                <w:color w:val="000000"/>
              </w:rPr>
              <w:t>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07*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Използвани отпадъчни леярски сърца, матрици и пресформи, съдържащи опасни вещес</w:t>
            </w:r>
            <w:r w:rsidR="004D78EB">
              <w:rPr>
                <w:rFonts w:ascii="Calibri" w:hAnsi="Calibri" w:cs="Calibri"/>
                <w:color w:val="000000"/>
              </w:rPr>
              <w:t>т</w:t>
            </w:r>
            <w:r>
              <w:rPr>
                <w:rFonts w:ascii="Calibri" w:hAnsi="Calibri" w:cs="Calibri"/>
                <w:color w:val="000000"/>
              </w:rPr>
              <w:t>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09*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Утайки и филтърен кек, </w:t>
            </w:r>
            <w:r>
              <w:rPr>
                <w:rFonts w:ascii="Calibri" w:hAnsi="Calibri" w:cs="Calibri"/>
                <w:color w:val="000000"/>
              </w:rPr>
              <w:lastRenderedPageBreak/>
              <w:t>съдържащи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13*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от обезмасляване, съдържащи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Pr="0026702B" w:rsidRDefault="0026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01 10*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Нехлорирани и хидравлични масла на минерална основа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10178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10*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Опаковки, съдържащи опасни вещества или замърсени с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10178B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02 13*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оборудване, съдържащо опасни компоненти, различно от упоменатото в кодове от 16 02 09 до 16 02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06 01*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Оловни акумулаторни батерии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260C8">
              <w:rPr>
                <w:rFonts w:ascii="Calibri" w:hAnsi="Calibri" w:cs="Calibri"/>
                <w:color w:val="000000"/>
              </w:rPr>
              <w:t>,0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01 21*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Флоуресцентни тръби и други отпадъци, съдържащи живак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0178B">
              <w:rPr>
                <w:rFonts w:ascii="Calibri" w:hAnsi="Calibri" w:cs="Calibri"/>
                <w:color w:val="000000"/>
              </w:rPr>
              <w:t>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17 01 07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17 02 02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Стъкло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17 06 04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Изолационни материали , различни от упоменатите в 17 06 01 и 17 06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Пластмасови опаковки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09*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Машинни емулсии и разтвори, несъдържащи халогенни елементи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Pr="0026702B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6702B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19 10 01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от желязо и стомана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0178B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10178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Излезли от употреба гуми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763C1">
              <w:rPr>
                <w:rFonts w:ascii="Calibri" w:hAnsi="Calibri" w:cs="Calibri"/>
                <w:color w:val="000000"/>
              </w:rPr>
              <w:t>,</w:t>
            </w:r>
            <w:r w:rsidR="0010178B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Цветни метали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10178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16 02 14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оборудване, различно от упоменатото в кодове 16 02 09 и 16 02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20 01 36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електрическо и електронно оборудване, различно от упоменатото в 20 01 21 и 20 01 23 и 20 01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17 09 04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5.4.Транспортиране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Всички отпадъци образувани от дейността на дружеството, които се предават за обезвреждане или оползотворяване  се предават за транспортиране на външни фирми, които притежават приложимите документи съгласно ЗУО.     / усл. 11.4.1./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2"/>
        </w:numPr>
        <w:tabs>
          <w:tab w:val="num" w:pos="993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Оползотворяване, в т.ч. рециклиране на отпадъци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Отпадъците, които се предават за оползотворяване, преработване или рециклиране се предават на фирми въз основа на писмен договор и притежаващи комплексно разрешително или документ по чл. 67 и/или чл.78 от ЗУО./ усл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.11.5.1./ Операция по оползотворяване, обозначена с код R 4 (рециклиране/възстановяване на метали и метални съединения) е 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извършена в Инсталация Леярна за черни метали  на отпадък „черни метали“ с ко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д 19 12 02 в количество </w:t>
      </w:r>
      <w:r w:rsid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2085</w:t>
      </w:r>
      <w:r w:rsidR="00F5406F"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,</w:t>
      </w:r>
      <w:r w:rsid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892</w:t>
      </w:r>
      <w:r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.; отпадък „желязо и стомана“ с к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од 17 04 05 в количество </w:t>
      </w:r>
      <w:r w:rsid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2217</w:t>
      </w:r>
      <w:r w:rsidR="00F5406F"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,</w:t>
      </w:r>
      <w:r w:rsid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F5406F"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т.; отпадък „стърготини,</w:t>
      </w:r>
      <w:r w:rsidR="004D78EB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стружки и изрезки от черни метали‘‘ с к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од 12 01 01 в количество </w:t>
      </w:r>
      <w:r w:rsidR="00A3191D"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3128</w:t>
      </w:r>
      <w:r w:rsidR="00F5406F"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,</w:t>
      </w:r>
      <w:r w:rsidR="00A3191D"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02</w:t>
      </w:r>
      <w:r w:rsidR="00F5406F"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/усл.11.5.2./. На площадката е прието  количество ОЧЦМ отговарящо на разрешеното по КР. Спазвайки условие 11.5.3. операцията по  оползотворяване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, обозначена с код R 13 (съхраняване на отпадъци до извършване на операция по оползотворяване, обозначена с код R 4) се извършва на площадка № 2, обозначена на приложение № 49</w:t>
      </w:r>
      <w:r w:rsidRPr="004117A0">
        <w:rPr>
          <w:rFonts w:ascii="Times New Roman" w:eastAsia="SimSun" w:hAnsi="Times New Roman" w:cs="Mangal"/>
          <w:color w:val="FF0000"/>
          <w:kern w:val="2"/>
          <w:sz w:val="24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към Решение №125-Н0-И0-А1/2016г. Срокът определен в усл. 11.5.5. се спазва.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съответствието на оползотворяване, в т.ч. рециклиране на отпадъците с условията на разрешителното. Няма установени несъответствия при ежемесечната проверка./усл.11.5.6./ Тези резултати се документират и съхраняват.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4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Обезвреждане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Отпадъците посочени в условие 11.1. се предават за обезвреждане  на Регионално депо за отпадъци гр. Монтана./усл.11.6.1./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tbl>
      <w:tblPr>
        <w:tblW w:w="978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771"/>
        <w:gridCol w:w="1134"/>
        <w:gridCol w:w="850"/>
        <w:gridCol w:w="993"/>
        <w:gridCol w:w="3261"/>
        <w:gridCol w:w="771"/>
      </w:tblGrid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Отпадък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Оползотворяване на площад ката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Обезвреждане на  площадката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Име на външната фирма извършваща операцията по оползотворяване/ обезвреждане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Шлака от пещи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640C1E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30</w:t>
            </w:r>
            <w:r w:rsidR="00640C1E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8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640C1E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99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Използвани отпадъч ни леярски сърца,  матрици и пресфор ми различни, от упо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менатите в 10 09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1F2199" w:rsidRDefault="00693FD9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ДТБО-Монтана -</w:t>
            </w:r>
            <w:r w:rsidR="001F2199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235</w:t>
            </w: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1F2199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78</w:t>
            </w:r>
            <w:r w:rsidR="004117A0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:rsidR="004117A0" w:rsidRPr="002D16AD" w:rsidRDefault="00693FD9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 - </w:t>
            </w:r>
            <w:r w:rsidR="004117A0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 </w:t>
            </w:r>
            <w:r w:rsidR="001F2199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2936</w:t>
            </w: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1F2199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24</w:t>
            </w:r>
            <w:r w:rsidR="004117A0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  <w:r w:rsidR="004117A0" w:rsidRPr="002D16AD"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Прах от отпадъчни га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зове различен от упо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менатия в 10 09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667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33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Отпадъци, неупоме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нати другаде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отсев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ки от кварцов пясък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17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66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Твърд цинк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1F219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“ЕКОРЕСУРС БГ”  ЕООД -</w:t>
            </w:r>
          </w:p>
          <w:p w:rsidR="004117A0" w:rsidRPr="002D16AD" w:rsidRDefault="0099204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112,86 </w:t>
            </w:r>
            <w:r w:rsidR="00537158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Цинкова пепел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11 05 02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1F219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“ЕКОРЕСУРС БГ”  ЕООД –</w:t>
            </w:r>
          </w:p>
          <w:p w:rsidR="004117A0" w:rsidRPr="002D16AD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33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5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2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Стърготини, стружки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 изрезки от черни метали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306C00" w:rsidRDefault="001F219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„Нова Универсал</w:t>
            </w:r>
            <w:r w:rsidR="00306C00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1 ЕООД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“</w:t>
            </w:r>
            <w:r w:rsidR="00306C00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- 8,14т</w:t>
            </w:r>
          </w:p>
          <w:p w:rsidR="004117A0" w:rsidRPr="00306C00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eastAsia="hi-IN" w:bidi="hi-IN"/>
              </w:rPr>
              <w:t>„Катер 2004“ ЕООД -</w:t>
            </w:r>
            <w:r w:rsidR="001F2199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val="en-US" w:eastAsia="hi-IN" w:bidi="hi-IN"/>
              </w:rPr>
              <w:t>54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eastAsia="hi-IN" w:bidi="hi-IN"/>
              </w:rPr>
              <w:t>,</w:t>
            </w:r>
            <w:r w:rsidR="001F2199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val="en-US" w:eastAsia="hi-IN" w:bidi="hi-IN"/>
              </w:rPr>
              <w:t>6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eastAsia="hi-IN" w:bidi="hi-IN"/>
              </w:rPr>
              <w:t>6</w:t>
            </w:r>
            <w:r w:rsidR="004117A0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 т</w:t>
            </w:r>
          </w:p>
          <w:p w:rsidR="00693FD9" w:rsidRPr="002D16AD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 -   </w:t>
            </w:r>
            <w:r w:rsidR="001F2199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439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1F2199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3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8 т</w:t>
            </w:r>
            <w:r w:rsidRPr="002D16AD"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Отпадъчни материали от струйно почистване на повърхности/бластиране, различни от упоменатите в 12 01 16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стоманени дробинки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12 01 17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6677F0" w:rsidRDefault="00FE57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C74551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146</w:t>
            </w: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C74551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</w:t>
            </w: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6</w:t>
            </w:r>
            <w:r w:rsidR="004117A0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:rsidR="004117A0" w:rsidRPr="002D16AD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="00FE57DD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Груп- </w:t>
            </w:r>
            <w:r w:rsidR="00C74551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103</w:t>
            </w:r>
            <w:r w:rsidR="00FE57DD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C74551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68</w:t>
            </w:r>
            <w:r w:rsidR="00FE57DD"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т.  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Хартиени и картоне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опаковки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15 01 01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306C0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„Нореком-Б“ ЕООД - 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1,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3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Други облицовачни и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огнеупорни материа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ли от металургични процеси, различни от упоменатите в 16 11 03</w:t>
            </w:r>
          </w:p>
          <w:p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16 11 04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FE57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88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2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8 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неупоменати другаде (консервационна течност)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11 01 99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306C00" w:rsidRDefault="00FE57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„Моби Шоп“ ЕООД гр. Пловдив – </w:t>
            </w:r>
            <w:r w:rsidR="00D027BF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4</w:t>
            </w:r>
            <w:r w:rsidR="004117A0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от обезмасляване, съдържащи опасни вещества</w:t>
            </w: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11 01 13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val="en-US"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„Моби Шоп“ ЕООД </w:t>
            </w:r>
            <w:r w:rsidR="00FE57DD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гр. Пловдив – </w:t>
            </w:r>
            <w:r w:rsidR="00C74551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18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Машинни емулсии и разтвори, несъдържащи халогенни елементи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 01 09*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„Моби Шоп“ ЕООД –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3</w:t>
            </w:r>
            <w:r w:rsidR="00C74551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5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от желязо и стомана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BF3B2A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19 10 01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276" w:rsidRPr="00F82C4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Дойче Груп -</w:t>
            </w:r>
            <w:r w:rsidR="00F3465A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15</w:t>
            </w:r>
            <w:r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F3465A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62</w:t>
            </w:r>
            <w:r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т      </w:t>
            </w:r>
          </w:p>
          <w:p w:rsidR="004117A0" w:rsidRPr="00F82C46" w:rsidRDefault="00F3465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Екоресур</w:t>
            </w:r>
            <w:r w:rsidR="00306C00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с БГ ЕООД </w:t>
            </w:r>
            <w:r w:rsidR="00FD3276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-</w:t>
            </w:r>
            <w:r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10</w:t>
            </w:r>
            <w:r w:rsidR="00FD3276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7</w:t>
            </w:r>
            <w:r w:rsidR="00FD3276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                                              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Опаковки, съдържащи опасни веществаили замърсени с опасни вещества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15 01 10*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„Моби Шоп“ ЕООД – 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4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04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Утайки и филтърен кек, съдържащи опасни вещества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 01 09*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2D16AD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„Моби Шоп“ ЕООД -</w:t>
            </w:r>
            <w:r w:rsidR="00D027BF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4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Нехлорирани и хидравлични масла на минерална основа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 01 10*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2D16AD" w:rsidRDefault="00FD3276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Моби Шоп ЕООД- 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1,</w:t>
            </w:r>
            <w:r w:rsidR="00D027BF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7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т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Default="00A3191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Флуоресцентни тръби и други отпадъци съдържащи живак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A3191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 01 21*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27A92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276" w:rsidRPr="00427A92" w:rsidRDefault="00427A92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27A92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„Моби Шоп“ ЕООД -0,14 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5.7. Контрол и измерване на отпадъците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Изготвена е и се прилага инструкция за измерване или изчисляване на количествата образувани отпадъци в съответствие с условията на разрешителното./усл. 11.7.2./ Разработена е и се прилага инструкция за оценка на съответствието на наблюдаваните количества образувани отпадъци с определените такива в условията на разрешителното. Тези резултати се документират и съхраняват.</w:t>
      </w: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6"/>
        </w:num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Документиране и докладване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  <w:t>Ежегодно се документират и докладват дейностите по управление на отпадъците съгласно изискванията на Наредба № 1/04.06.2014 г.  за реда и образците, по които се предоставя информация за дейностите по отпадъците, както и реда за водене на публични регистри  /усл.11.9.1./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Количествата образувани отпадъци като годишно количество са документирани и за отчетния период са посочени в таблица 5.3.от точка 5.3./усл. 11.9.2./</w:t>
      </w:r>
    </w:p>
    <w:p w:rsidR="00A232F5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numPr>
          <w:ilvl w:val="1"/>
          <w:numId w:val="28"/>
        </w:num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Шум</w:t>
      </w:r>
    </w:p>
    <w:p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През отчетния период в дружеството ня</w:t>
      </w:r>
      <w:r w:rsidR="00DB1C2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ма постъпили писмени оплаквания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="00046F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046F4D" w:rsidRPr="00046F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Наблюдение на показателите посочени в усл.12.2.1. на разрешителното,   се извърши през 20</w:t>
      </w:r>
      <w:r w:rsidR="00046F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</w:t>
      </w:r>
      <w:r w:rsidR="00046F4D" w:rsidRPr="00046F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г.</w:t>
      </w:r>
    </w:p>
    <w:p w:rsidR="00A42A27" w:rsidRPr="004117A0" w:rsidRDefault="00A42A27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046F4D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1934"/>
        <w:gridCol w:w="2490"/>
        <w:gridCol w:w="2475"/>
        <w:gridCol w:w="2566"/>
      </w:tblGrid>
      <w:tr w:rsidR="00046F4D" w:rsidRPr="00046F4D" w:rsidTr="002C678F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Място на измерване</w:t>
            </w:r>
          </w:p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то /№ на точките/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val="en-US"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 xml:space="preserve">Ниво на звуково налягане в </w:t>
            </w:r>
            <w:r w:rsidRPr="00046F4D">
              <w:rPr>
                <w:rFonts w:ascii="Times New Roman" w:eastAsia="SimSun" w:hAnsi="Times New Roman" w:cs="Mangal"/>
                <w:kern w:val="1"/>
                <w:sz w:val="20"/>
                <w:szCs w:val="24"/>
                <w:lang w:val="en-US" w:eastAsia="hi-IN" w:bidi="hi-IN"/>
              </w:rPr>
              <w:t>dB (A)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Измерено през деня/ноща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Съответствие</w:t>
            </w:r>
          </w:p>
        </w:tc>
      </w:tr>
      <w:tr w:rsidR="00046F4D" w:rsidRPr="00046F4D" w:rsidTr="002C678F">
        <w:trPr>
          <w:trHeight w:val="34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A47D94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54</w:t>
            </w:r>
            <w:r w:rsidR="00046F4D"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7</w:t>
            </w: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,6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6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2</w:t>
            </w: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ИТ4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6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7</w:t>
            </w: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ИТ5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62,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ИТ6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56,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ИТ7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2</w:t>
            </w: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ИТ8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6</w:t>
            </w: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ИТ9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6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1</w:t>
            </w: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ИТ10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9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ИТ11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61,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046F4D" w:rsidRPr="00046F4D" w:rsidTr="002C678F">
        <w:trPr>
          <w:trHeight w:val="281"/>
        </w:trPr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ИТ12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55,</w:t>
            </w:r>
            <w:r w:rsidR="00A47D94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деня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4D" w:rsidRPr="00046F4D" w:rsidRDefault="00046F4D" w:rsidP="00046F4D">
            <w:pPr>
              <w:widowControl w:val="0"/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6F4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A232F5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A232F5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 Опазване на почвата и подземните води от замърсяване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През отчетния период  не е допуснато пряко или непряко отвеждане на вредни и опасни вещества в почвите и подземните води.  Изготвена е и се прилага инструкция за периодична проверка за наличие на течове от тръбопроводи и оборудване, разположени на открито /усл.13.1.1/. Извършени са 12 броя проверки. Не са установени течове. Резултатите от проверката се документират и съхраняват.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Поради естеството на производствената си дейност, дружеството разполага с достатъчни количества абсорбиращ материал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кварцов пясък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)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, който при необходимост може да бъде използван.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Разработена е и се прилага инструкция, съдържаща мерки за отстраняване на разливи или изливания на вредни и опасни вещества върху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производствената площадка. /усл. 13.1.2../  През отчетния период не са установени разливи или изливане на вредни и опасни вещества. Въведен е дневник за установяване на разливи или изливания на вредни и опасни вещества. Прилага се инструкция за предотвратяване на наличие на течности в резервоари от които са установени течове /усл.13.1.4./.Изготвена е и се прилага инструкция за проверка и поддръжка на канализационната система /усл.13.1.5./.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7.1.Собствен мониторинг на подземни води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Ре</w:t>
      </w:r>
      <w:r w:rsidR="00F044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зултатите от мониторинга за 20</w:t>
      </w:r>
      <w:r w:rsidR="00DE3C8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г. са посочени в следващата таблица.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852"/>
        <w:gridCol w:w="1220"/>
        <w:gridCol w:w="1128"/>
        <w:gridCol w:w="1487"/>
        <w:gridCol w:w="1370"/>
        <w:gridCol w:w="1241"/>
        <w:gridCol w:w="1210"/>
      </w:tblGrid>
      <w:tr w:rsidR="004117A0" w:rsidRPr="004117A0" w:rsidTr="004117A0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Показател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Точка на пробовземане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Концентрация в подземните води, съгласно КР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 монито  ринг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 ниторинг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екологичен праг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на замърсяване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1годишно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0,086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E3C8F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DE3C8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E3C8F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0,147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DE3C8F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E3C8F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0,139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E3C8F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DE3C8F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4117A0" w:rsidRPr="004117A0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DE3C8F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0,148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:rsidTr="004117A0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A0" w:rsidRPr="00F04446" w:rsidRDefault="00F0444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DE3C8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7.2. Собствен мониторинг на почви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Броят и разположението на постоянните пунктове за извършване собствен мониторинг за състоянието на почвите е съгласуван  с РИОСВ и ИАОС../   Съгласно условие 13.2.1. от разрешителното мониторинг се извършва 1 път на 10 години. През 2015 г. е  извършен  собствен мониторинг за състоянието на почвите по показатели и честота определени в разрешителното и през отчетния период не следва да се извърши.  /усл. 13.2.1./ 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ab/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7.3. Документиране и докладване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Съгласувани са с Басейнова дирекция броя и разположението на сондажите за наблюдения и сме Ви представили копие на картен материал с нанесени разположението на точките за собствен мониторинг на подземни води, включително географски координати на същите. /приложение №5 от ГДОС  2008 г./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Представили сме Ви картен материал с нанесени разположението на точките за собствен мониторинг на почви съгласно приложение №5 от ГДОС 2008 г./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232F5" w:rsidRPr="004117A0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8. Предотвратяване и действия при аварии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Предприятието е класифицирано съгласно чл. 103 от Закона за опазване на околната среда като “ предприятие и/или съоръжение, за което не е необходимо издаване на разрешително по чл. 104 от ЗООС “ 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Дружеството има утвърден План за действие при аварии, съгласуван с Главна Дирекция “Национална агенция гражданска защита”. През отчетния период не е възниквала аварийна ситуация. Изготвена е инструкция за оценка на риска от аварии. /усл.14.1./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9. Преходни и анормални режими на работа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пускане и спиране на пречиствателните съоръжения. /усл.15.1./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отчетния период не е имало анормални режими на работа на инсталациите по условие 2.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пускане и спиране на инсталацията /усл.15.2.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10. Прекратяване на работата на инсталациите или на части от тях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отчетния период и през настоящата година дружеството не планира прекратяване на дейността на инсталациите или на части от тях.</w:t>
      </w:r>
    </w:p>
    <w:p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BA3E67" w:rsidRPr="004117A0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Декларация</w:t>
      </w:r>
    </w:p>
    <w:p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0" w:line="240" w:lineRule="auto"/>
        <w:ind w:left="-15"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Удостоверявам верността, точността и пълнотата на представената информация в Годишният доклад за изпълнение на дейностите, за които е предоставено комплексно разрешително № 125/2006 година на Берг Монтана Фитинги  ЕАД.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Не възразявам срещу предоставянето от страна на ИАОС, РИОСВ или МОСВ на копия от този доклад на трети лица.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Подпис: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________________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Дата: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</w:t>
      </w:r>
    </w:p>
    <w:p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Име на подписващия: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_______________________________________</w:t>
      </w:r>
    </w:p>
    <w:p w:rsidR="004117A0" w:rsidRPr="004117A0" w:rsidRDefault="004117A0" w:rsidP="004117A0">
      <w:pPr>
        <w:rPr>
          <w:rFonts w:ascii="Calibri" w:eastAsia="Calibri" w:hAnsi="Calibri" w:cs="Times New Roma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Длъжност в организацията: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</w:t>
      </w:r>
    </w:p>
    <w:p w:rsidR="00735389" w:rsidRDefault="00735389"/>
    <w:sectPr w:rsidR="0073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0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79F1F6C"/>
    <w:multiLevelType w:val="multilevel"/>
    <w:tmpl w:val="4A1804E4"/>
    <w:lvl w:ilvl="0">
      <w:start w:val="4"/>
      <w:numFmt w:val="decimal"/>
      <w:lvlText w:val="%1."/>
      <w:lvlJc w:val="left"/>
      <w:pPr>
        <w:ind w:left="900" w:hanging="900"/>
      </w:pPr>
    </w:lvl>
    <w:lvl w:ilvl="1">
      <w:start w:val="3"/>
      <w:numFmt w:val="decimal"/>
      <w:lvlText w:val="%1.%2."/>
      <w:lvlJc w:val="left"/>
      <w:pPr>
        <w:ind w:left="1080" w:hanging="900"/>
      </w:pPr>
    </w:lvl>
    <w:lvl w:ilvl="2">
      <w:start w:val="1"/>
      <w:numFmt w:val="decimal"/>
      <w:lvlText w:val="%1.%2.%3."/>
      <w:lvlJc w:val="left"/>
      <w:pPr>
        <w:ind w:left="1260" w:hanging="90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9" w15:restartNumberingAfterBreak="0">
    <w:nsid w:val="12BB4A1F"/>
    <w:multiLevelType w:val="hybridMultilevel"/>
    <w:tmpl w:val="5446800C"/>
    <w:lvl w:ilvl="0" w:tplc="9668AFAE">
      <w:numFmt w:val="bullet"/>
      <w:lvlText w:val="-"/>
      <w:lvlJc w:val="left"/>
      <w:pPr>
        <w:ind w:left="97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0"/>
  </w:num>
  <w:num w:numId="31">
    <w:abstractNumId w:val="11"/>
  </w:num>
  <w:num w:numId="32">
    <w:abstractNumId w:val="16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0"/>
    <w:rsid w:val="00032EBA"/>
    <w:rsid w:val="00046F4D"/>
    <w:rsid w:val="00086275"/>
    <w:rsid w:val="00095F7C"/>
    <w:rsid w:val="00097E28"/>
    <w:rsid w:val="000E47F6"/>
    <w:rsid w:val="000F24F3"/>
    <w:rsid w:val="0010178B"/>
    <w:rsid w:val="00103A27"/>
    <w:rsid w:val="00110D8C"/>
    <w:rsid w:val="00112035"/>
    <w:rsid w:val="001215AD"/>
    <w:rsid w:val="00150C5A"/>
    <w:rsid w:val="001518BF"/>
    <w:rsid w:val="00184978"/>
    <w:rsid w:val="0019156E"/>
    <w:rsid w:val="001F2199"/>
    <w:rsid w:val="001F78E7"/>
    <w:rsid w:val="002062D2"/>
    <w:rsid w:val="0026702B"/>
    <w:rsid w:val="002763C1"/>
    <w:rsid w:val="002A3867"/>
    <w:rsid w:val="002A6B27"/>
    <w:rsid w:val="002B5837"/>
    <w:rsid w:val="002C678F"/>
    <w:rsid w:val="002D16AD"/>
    <w:rsid w:val="00306C00"/>
    <w:rsid w:val="00345A51"/>
    <w:rsid w:val="003628D8"/>
    <w:rsid w:val="003629D5"/>
    <w:rsid w:val="00372AE2"/>
    <w:rsid w:val="00377DE2"/>
    <w:rsid w:val="00380DC8"/>
    <w:rsid w:val="0039038C"/>
    <w:rsid w:val="00395506"/>
    <w:rsid w:val="003A7D87"/>
    <w:rsid w:val="00401591"/>
    <w:rsid w:val="00411054"/>
    <w:rsid w:val="004117A0"/>
    <w:rsid w:val="00427A92"/>
    <w:rsid w:val="00450B50"/>
    <w:rsid w:val="004671AC"/>
    <w:rsid w:val="004836D5"/>
    <w:rsid w:val="004875C4"/>
    <w:rsid w:val="004A446D"/>
    <w:rsid w:val="004C026B"/>
    <w:rsid w:val="004D78EB"/>
    <w:rsid w:val="0050335C"/>
    <w:rsid w:val="005109C8"/>
    <w:rsid w:val="005151F5"/>
    <w:rsid w:val="005260C8"/>
    <w:rsid w:val="00537158"/>
    <w:rsid w:val="005406FD"/>
    <w:rsid w:val="00547D87"/>
    <w:rsid w:val="00573FDF"/>
    <w:rsid w:val="00580B6D"/>
    <w:rsid w:val="005A29D6"/>
    <w:rsid w:val="005B009E"/>
    <w:rsid w:val="005B185B"/>
    <w:rsid w:val="005E41CA"/>
    <w:rsid w:val="005F197A"/>
    <w:rsid w:val="005F5E90"/>
    <w:rsid w:val="006200FD"/>
    <w:rsid w:val="00623643"/>
    <w:rsid w:val="00632D29"/>
    <w:rsid w:val="00640C1E"/>
    <w:rsid w:val="00652274"/>
    <w:rsid w:val="006677F0"/>
    <w:rsid w:val="00676603"/>
    <w:rsid w:val="00693FD9"/>
    <w:rsid w:val="006D3FD0"/>
    <w:rsid w:val="007214DF"/>
    <w:rsid w:val="00735389"/>
    <w:rsid w:val="00747583"/>
    <w:rsid w:val="00747A7B"/>
    <w:rsid w:val="0075297E"/>
    <w:rsid w:val="00764D14"/>
    <w:rsid w:val="007932D3"/>
    <w:rsid w:val="007A0EF1"/>
    <w:rsid w:val="007E2BBC"/>
    <w:rsid w:val="007F2EEB"/>
    <w:rsid w:val="007F418E"/>
    <w:rsid w:val="008602F5"/>
    <w:rsid w:val="008662E7"/>
    <w:rsid w:val="008A1387"/>
    <w:rsid w:val="008C0E3C"/>
    <w:rsid w:val="008D0A5D"/>
    <w:rsid w:val="008D2C6D"/>
    <w:rsid w:val="00911772"/>
    <w:rsid w:val="00923D4A"/>
    <w:rsid w:val="00992049"/>
    <w:rsid w:val="00994CF1"/>
    <w:rsid w:val="009B2995"/>
    <w:rsid w:val="009B364E"/>
    <w:rsid w:val="009C1569"/>
    <w:rsid w:val="00A15E0D"/>
    <w:rsid w:val="00A20D71"/>
    <w:rsid w:val="00A232F5"/>
    <w:rsid w:val="00A3191D"/>
    <w:rsid w:val="00A33235"/>
    <w:rsid w:val="00A42A27"/>
    <w:rsid w:val="00A47D94"/>
    <w:rsid w:val="00A547E8"/>
    <w:rsid w:val="00A55153"/>
    <w:rsid w:val="00A56757"/>
    <w:rsid w:val="00A66894"/>
    <w:rsid w:val="00A860D3"/>
    <w:rsid w:val="00AA1913"/>
    <w:rsid w:val="00AC14C0"/>
    <w:rsid w:val="00AC6FD4"/>
    <w:rsid w:val="00AC7A81"/>
    <w:rsid w:val="00B072F1"/>
    <w:rsid w:val="00B24E30"/>
    <w:rsid w:val="00B54402"/>
    <w:rsid w:val="00B544DF"/>
    <w:rsid w:val="00B64604"/>
    <w:rsid w:val="00B8530E"/>
    <w:rsid w:val="00B86FF4"/>
    <w:rsid w:val="00BA3E67"/>
    <w:rsid w:val="00BB0159"/>
    <w:rsid w:val="00BD16B1"/>
    <w:rsid w:val="00BE7386"/>
    <w:rsid w:val="00BF3B2A"/>
    <w:rsid w:val="00C74551"/>
    <w:rsid w:val="00CA6A28"/>
    <w:rsid w:val="00CC43F3"/>
    <w:rsid w:val="00CF16FD"/>
    <w:rsid w:val="00D027BF"/>
    <w:rsid w:val="00D317D6"/>
    <w:rsid w:val="00D46ABF"/>
    <w:rsid w:val="00D53850"/>
    <w:rsid w:val="00D55992"/>
    <w:rsid w:val="00D57E24"/>
    <w:rsid w:val="00D64993"/>
    <w:rsid w:val="00DB1C2E"/>
    <w:rsid w:val="00DB5064"/>
    <w:rsid w:val="00DC4375"/>
    <w:rsid w:val="00DC660D"/>
    <w:rsid w:val="00DC7A3C"/>
    <w:rsid w:val="00DE3C8F"/>
    <w:rsid w:val="00DF4E8F"/>
    <w:rsid w:val="00E06AD7"/>
    <w:rsid w:val="00E14D3F"/>
    <w:rsid w:val="00E42D31"/>
    <w:rsid w:val="00E510F3"/>
    <w:rsid w:val="00EA2006"/>
    <w:rsid w:val="00F04446"/>
    <w:rsid w:val="00F229AA"/>
    <w:rsid w:val="00F3465A"/>
    <w:rsid w:val="00F5406F"/>
    <w:rsid w:val="00F71DE9"/>
    <w:rsid w:val="00F7586D"/>
    <w:rsid w:val="00F82C46"/>
    <w:rsid w:val="00F85CDB"/>
    <w:rsid w:val="00FA2770"/>
    <w:rsid w:val="00FA43A7"/>
    <w:rsid w:val="00FA6D7A"/>
    <w:rsid w:val="00FB0C71"/>
    <w:rsid w:val="00FD3276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D119-A477-4794-AE3D-BDA19BB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17A0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17A0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unhideWhenUsed/>
    <w:qFormat/>
    <w:rsid w:val="004117A0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5">
    <w:name w:val="heading 5"/>
    <w:basedOn w:val="Normal"/>
    <w:next w:val="Normal"/>
    <w:link w:val="Heading5Char"/>
    <w:unhideWhenUsed/>
    <w:qFormat/>
    <w:rsid w:val="004117A0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paragraph" w:styleId="Heading6">
    <w:name w:val="heading 6"/>
    <w:basedOn w:val="Normal"/>
    <w:next w:val="Normal"/>
    <w:link w:val="Heading6Char"/>
    <w:unhideWhenUsed/>
    <w:qFormat/>
    <w:rsid w:val="004117A0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17A0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17A0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17A0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7A0"/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character" w:customStyle="1" w:styleId="Heading3Char">
    <w:name w:val="Heading 3 Char"/>
    <w:basedOn w:val="DefaultParagraphFont"/>
    <w:link w:val="Heading3"/>
    <w:semiHidden/>
    <w:rsid w:val="004117A0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eading5Char">
    <w:name w:val="Heading 5 Char"/>
    <w:basedOn w:val="DefaultParagraphFont"/>
    <w:link w:val="Heading5"/>
    <w:rsid w:val="004117A0"/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eading7Char">
    <w:name w:val="Heading 7 Char"/>
    <w:basedOn w:val="DefaultParagraphFont"/>
    <w:link w:val="Heading7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eading8Char">
    <w:name w:val="Heading 8 Char"/>
    <w:basedOn w:val="DefaultParagraphFont"/>
    <w:link w:val="Heading8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semiHidden/>
    <w:rsid w:val="004117A0"/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numbering" w:customStyle="1" w:styleId="1">
    <w:name w:val="Без списък1"/>
    <w:next w:val="NoList"/>
    <w:uiPriority w:val="99"/>
    <w:semiHidden/>
    <w:unhideWhenUsed/>
    <w:rsid w:val="004117A0"/>
  </w:style>
  <w:style w:type="paragraph" w:styleId="Header">
    <w:name w:val="header"/>
    <w:basedOn w:val="Normal"/>
    <w:link w:val="HeaderChar"/>
    <w:uiPriority w:val="99"/>
    <w:semiHidden/>
    <w:unhideWhenUsed/>
    <w:rsid w:val="00411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17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4117A0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4117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">
    <w:name w:val="List"/>
    <w:basedOn w:val="BodyText"/>
    <w:semiHidden/>
    <w:unhideWhenUsed/>
    <w:rsid w:val="004117A0"/>
  </w:style>
  <w:style w:type="paragraph" w:styleId="BodyTextIndent">
    <w:name w:val="Body Text Indent"/>
    <w:basedOn w:val="Normal"/>
    <w:link w:val="BodyTextIndentChar"/>
    <w:semiHidden/>
    <w:unhideWhenUsed/>
    <w:rsid w:val="004117A0"/>
    <w:pPr>
      <w:widowControl w:val="0"/>
      <w:suppressAutoHyphens/>
      <w:spacing w:after="0" w:line="240" w:lineRule="auto"/>
      <w:ind w:left="72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A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7A0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0">
    <w:name w:val="Заглавие1"/>
    <w:basedOn w:val="Normal"/>
    <w:next w:val="BodyText"/>
    <w:rsid w:val="004117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1">
    <w:name w:val="Надпис1"/>
    <w:basedOn w:val="Normal"/>
    <w:rsid w:val="004117A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a">
    <w:name w:val="Указател"/>
    <w:basedOn w:val="Normal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ен текст с отстъп 21"/>
    <w:basedOn w:val="Normal"/>
    <w:rsid w:val="004117A0"/>
    <w:pPr>
      <w:widowControl w:val="0"/>
      <w:suppressAutoHyphens/>
      <w:spacing w:after="0" w:line="240" w:lineRule="auto"/>
      <w:ind w:left="90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31">
    <w:name w:val="Основен текст с отстъп 31"/>
    <w:basedOn w:val="Normal"/>
    <w:rsid w:val="004117A0"/>
    <w:pPr>
      <w:widowControl w:val="0"/>
      <w:suppressAutoHyphens/>
      <w:spacing w:after="0" w:line="240" w:lineRule="auto"/>
      <w:ind w:left="900" w:hanging="9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Standard">
    <w:name w:val="Standard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12">
    <w:name w:val="Нормален1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ен текст 21"/>
    <w:basedOn w:val="Normal"/>
    <w:rsid w:val="004117A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paragraph" w:customStyle="1" w:styleId="-">
    <w:name w:val="Рамка - съдържание"/>
    <w:basedOn w:val="BodyText"/>
    <w:rsid w:val="004117A0"/>
  </w:style>
  <w:style w:type="paragraph" w:customStyle="1" w:styleId="-0">
    <w:name w:val="Таблица - съдържание"/>
    <w:basedOn w:val="Normal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-1">
    <w:name w:val="Таблица - заглавие"/>
    <w:basedOn w:val="-0"/>
    <w:rsid w:val="004117A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4117A0"/>
  </w:style>
  <w:style w:type="character" w:customStyle="1" w:styleId="WW-Absatz-Standardschriftart">
    <w:name w:val="WW-Absatz-Standardschriftart"/>
    <w:rsid w:val="004117A0"/>
  </w:style>
  <w:style w:type="character" w:customStyle="1" w:styleId="WW-Absatz-Standardschriftart1">
    <w:name w:val="WW-Absatz-Standardschriftart1"/>
    <w:rsid w:val="004117A0"/>
  </w:style>
  <w:style w:type="character" w:customStyle="1" w:styleId="WW-Absatz-Standardschriftart11">
    <w:name w:val="WW-Absatz-Standardschriftart11"/>
    <w:rsid w:val="004117A0"/>
  </w:style>
  <w:style w:type="character" w:customStyle="1" w:styleId="WW-Absatz-Standardschriftart111">
    <w:name w:val="WW-Absatz-Standardschriftart111"/>
    <w:rsid w:val="004117A0"/>
  </w:style>
  <w:style w:type="character" w:customStyle="1" w:styleId="WW-DefaultParagraphFont">
    <w:name w:val="WW-Default Paragraph Font"/>
    <w:rsid w:val="004117A0"/>
  </w:style>
  <w:style w:type="table" w:styleId="TableGrid">
    <w:name w:val="Table Grid"/>
    <w:basedOn w:val="TableNormal"/>
    <w:uiPriority w:val="59"/>
    <w:rsid w:val="00DC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8212</Words>
  <Characters>46815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Мила Андонова</cp:lastModifiedBy>
  <cp:revision>2</cp:revision>
  <cp:lastPrinted>2021-04-29T11:34:00Z</cp:lastPrinted>
  <dcterms:created xsi:type="dcterms:W3CDTF">2021-07-27T13:28:00Z</dcterms:created>
  <dcterms:modified xsi:type="dcterms:W3CDTF">2021-07-27T13:28:00Z</dcterms:modified>
</cp:coreProperties>
</file>